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D55" w:rsidRPr="005B2BD0" w:rsidRDefault="00334D55" w:rsidP="00334D55">
      <w:pPr>
        <w:spacing w:line="240" w:lineRule="auto"/>
        <w:jc w:val="center"/>
        <w:rPr>
          <w:rFonts w:ascii="Times New Roman" w:hAnsi="Times New Roman" w:cs="Times New Roman"/>
          <w:b/>
          <w:sz w:val="24"/>
          <w:szCs w:val="24"/>
          <w:lang w:val="en-US"/>
        </w:rPr>
      </w:pPr>
      <w:r w:rsidRPr="005B2BD0">
        <w:rPr>
          <w:rFonts w:ascii="Times New Roman" w:hAnsi="Times New Roman" w:cs="Times New Roman"/>
          <w:b/>
          <w:sz w:val="24"/>
          <w:szCs w:val="24"/>
          <w:lang w:val="en-US"/>
        </w:rPr>
        <w:t>The final report of the Institute of Additional Professional University.</w:t>
      </w:r>
      <w:r>
        <w:rPr>
          <w:rFonts w:ascii="Times New Roman" w:hAnsi="Times New Roman" w:cs="Times New Roman"/>
          <w:b/>
          <w:sz w:val="24"/>
          <w:szCs w:val="24"/>
          <w:lang w:val="en-US"/>
        </w:rPr>
        <w:t xml:space="preserve"> </w:t>
      </w:r>
      <w:r w:rsidRPr="005B2BD0">
        <w:rPr>
          <w:rFonts w:ascii="Times New Roman" w:hAnsi="Times New Roman" w:cs="Times New Roman"/>
          <w:b/>
          <w:sz w:val="24"/>
          <w:szCs w:val="24"/>
          <w:lang w:val="en-US"/>
        </w:rPr>
        <w:t xml:space="preserve">North – Eastern Federal University named after </w:t>
      </w:r>
      <w:proofErr w:type="spellStart"/>
      <w:r w:rsidRPr="005B2BD0">
        <w:rPr>
          <w:rFonts w:ascii="Times New Roman" w:hAnsi="Times New Roman" w:cs="Times New Roman"/>
          <w:b/>
          <w:sz w:val="24"/>
          <w:szCs w:val="24"/>
          <w:lang w:val="en-US"/>
        </w:rPr>
        <w:t>M.K.Ammosov</w:t>
      </w:r>
      <w:proofErr w:type="spellEnd"/>
      <w:r w:rsidRPr="005B2BD0">
        <w:rPr>
          <w:rFonts w:ascii="Times New Roman" w:hAnsi="Times New Roman" w:cs="Times New Roman"/>
          <w:b/>
          <w:sz w:val="24"/>
          <w:szCs w:val="24"/>
          <w:lang w:val="en-US"/>
        </w:rPr>
        <w:t>. (2015)</w:t>
      </w:r>
    </w:p>
    <w:p w:rsidR="00334D55" w:rsidRPr="00BA5863" w:rsidRDefault="00334D55" w:rsidP="00334D55">
      <w:pPr>
        <w:spacing w:line="240" w:lineRule="auto"/>
        <w:rPr>
          <w:rFonts w:ascii="Times New Roman" w:hAnsi="Times New Roman" w:cs="Times New Roman"/>
          <w:sz w:val="24"/>
          <w:szCs w:val="24"/>
          <w:lang w:val="en-US"/>
        </w:rPr>
      </w:pPr>
      <w:r w:rsidRPr="00BA5863">
        <w:rPr>
          <w:rFonts w:ascii="Times New Roman" w:hAnsi="Times New Roman" w:cs="Times New Roman"/>
          <w:sz w:val="24"/>
          <w:szCs w:val="24"/>
          <w:lang w:val="en-US"/>
        </w:rPr>
        <w:t>Technologizing and globalization processes of modern society caused to the transformation processes of additi</w:t>
      </w:r>
      <w:r>
        <w:rPr>
          <w:rFonts w:ascii="Times New Roman" w:hAnsi="Times New Roman" w:cs="Times New Roman"/>
          <w:sz w:val="24"/>
          <w:szCs w:val="24"/>
          <w:lang w:val="en-US"/>
        </w:rPr>
        <w:t>onal professional education (APE</w:t>
      </w:r>
      <w:r w:rsidRPr="00BA5863">
        <w:rPr>
          <w:rFonts w:ascii="Times New Roman" w:hAnsi="Times New Roman" w:cs="Times New Roman"/>
          <w:sz w:val="24"/>
          <w:szCs w:val="24"/>
          <w:lang w:val="en-US"/>
        </w:rPr>
        <w:t>), that must be turn in global standards of quality p</w:t>
      </w:r>
      <w:r>
        <w:rPr>
          <w:rFonts w:ascii="Times New Roman" w:hAnsi="Times New Roman" w:cs="Times New Roman"/>
          <w:sz w:val="24"/>
          <w:szCs w:val="24"/>
          <w:lang w:val="en-US"/>
        </w:rPr>
        <w:t>rofessional education. Today APE</w:t>
      </w:r>
      <w:r w:rsidRPr="00BA5863">
        <w:rPr>
          <w:rFonts w:ascii="Times New Roman" w:hAnsi="Times New Roman" w:cs="Times New Roman"/>
          <w:sz w:val="24"/>
          <w:szCs w:val="24"/>
          <w:lang w:val="en-US"/>
        </w:rPr>
        <w:t xml:space="preserve"> system, appropriate to the needs of modern society, provides socialization and professionalism of the individual, the formation of its social identity.</w:t>
      </w:r>
    </w:p>
    <w:p w:rsidR="00334D55" w:rsidRDefault="00334D55" w:rsidP="00334D55">
      <w:pPr>
        <w:spacing w:line="240" w:lineRule="auto"/>
        <w:rPr>
          <w:rFonts w:ascii="Times New Roman" w:hAnsi="Times New Roman" w:cs="Times New Roman"/>
          <w:sz w:val="24"/>
          <w:szCs w:val="24"/>
          <w:lang w:val="en-US"/>
        </w:rPr>
      </w:pPr>
      <w:r w:rsidRPr="00C3555C">
        <w:rPr>
          <w:rFonts w:ascii="Times New Roman" w:hAnsi="Times New Roman" w:cs="Times New Roman"/>
          <w:sz w:val="24"/>
          <w:szCs w:val="24"/>
          <w:lang w:val="en-US"/>
        </w:rPr>
        <w:t>Adult</w:t>
      </w:r>
      <w:r>
        <w:rPr>
          <w:rFonts w:ascii="Times New Roman" w:hAnsi="Times New Roman" w:cs="Times New Roman"/>
          <w:sz w:val="24"/>
          <w:szCs w:val="24"/>
          <w:lang w:val="en-US"/>
        </w:rPr>
        <w:t xml:space="preserve"> education </w:t>
      </w:r>
      <w:proofErr w:type="gramStart"/>
      <w:r>
        <w:rPr>
          <w:rFonts w:ascii="Times New Roman" w:hAnsi="Times New Roman" w:cs="Times New Roman"/>
          <w:sz w:val="24"/>
          <w:szCs w:val="24"/>
          <w:lang w:val="en-US"/>
        </w:rPr>
        <w:t>is carried</w:t>
      </w:r>
      <w:proofErr w:type="gramEnd"/>
      <w:r>
        <w:rPr>
          <w:rFonts w:ascii="Times New Roman" w:hAnsi="Times New Roman" w:cs="Times New Roman"/>
          <w:sz w:val="24"/>
          <w:szCs w:val="24"/>
          <w:lang w:val="en-US"/>
        </w:rPr>
        <w:t xml:space="preserve"> for </w:t>
      </w:r>
      <w:r w:rsidRPr="00C3555C">
        <w:rPr>
          <w:rFonts w:ascii="Times New Roman" w:hAnsi="Times New Roman" w:cs="Times New Roman"/>
          <w:sz w:val="24"/>
          <w:szCs w:val="24"/>
          <w:lang w:val="en-US"/>
        </w:rPr>
        <w:t>additional professional programs at the Univer</w:t>
      </w:r>
      <w:r>
        <w:rPr>
          <w:rFonts w:ascii="Times New Roman" w:hAnsi="Times New Roman" w:cs="Times New Roman"/>
          <w:sz w:val="24"/>
          <w:szCs w:val="24"/>
          <w:lang w:val="en-US"/>
        </w:rPr>
        <w:t xml:space="preserve">sity (APP), approved at the EMA APE </w:t>
      </w:r>
      <w:r w:rsidRPr="00C3555C">
        <w:rPr>
          <w:rFonts w:ascii="Times New Roman" w:hAnsi="Times New Roman" w:cs="Times New Roman"/>
          <w:sz w:val="24"/>
          <w:szCs w:val="24"/>
          <w:lang w:val="en-US"/>
        </w:rPr>
        <w:t>NEFU. The modern development and implementation of educational programs, refresher courses and retraining (table 1) using new methods and technologies (funded system, field courses, remote technology, personalized, case-technology, e-learning systems, and others.) helps to attract large the amount of the real sector professionals consumer economy, social sphere, business (table 2).</w:t>
      </w:r>
    </w:p>
    <w:p w:rsidR="00334D55" w:rsidRDefault="00334D55" w:rsidP="00334D55">
      <w:pPr>
        <w:spacing w:line="240" w:lineRule="auto"/>
        <w:rPr>
          <w:rFonts w:ascii="Times New Roman" w:hAnsi="Times New Roman" w:cs="Times New Roman"/>
          <w:sz w:val="24"/>
          <w:szCs w:val="24"/>
          <w:lang w:val="en-US"/>
        </w:rPr>
      </w:pPr>
      <w:r w:rsidRPr="007C2A84">
        <w:rPr>
          <w:rFonts w:ascii="Times New Roman" w:hAnsi="Times New Roman" w:cs="Times New Roman"/>
          <w:sz w:val="24"/>
          <w:szCs w:val="24"/>
          <w:lang w:val="en-US"/>
        </w:rPr>
        <w:t>Number of programs</w:t>
      </w:r>
      <w:r>
        <w:rPr>
          <w:rFonts w:ascii="Times New Roman" w:hAnsi="Times New Roman" w:cs="Times New Roman"/>
          <w:sz w:val="24"/>
          <w:szCs w:val="24"/>
          <w:lang w:val="en-US"/>
        </w:rPr>
        <w:t xml:space="preserve"> on extens</w:t>
      </w:r>
      <w:r w:rsidRPr="007C2A84">
        <w:rPr>
          <w:rFonts w:ascii="Times New Roman" w:hAnsi="Times New Roman" w:cs="Times New Roman"/>
          <w:sz w:val="24"/>
          <w:szCs w:val="24"/>
          <w:lang w:val="en-US"/>
        </w:rPr>
        <w:t>ion courses and professional retraining.</w:t>
      </w:r>
      <w:r w:rsidRPr="00CF5D5C">
        <w:rPr>
          <w:rFonts w:ascii="Times New Roman" w:hAnsi="Times New Roman" w:cs="Times New Roman"/>
          <w:sz w:val="24"/>
          <w:szCs w:val="24"/>
          <w:lang w:val="en-US"/>
        </w:rPr>
        <w:t xml:space="preserve"> </w:t>
      </w:r>
      <w:r>
        <w:rPr>
          <w:rFonts w:ascii="Times New Roman" w:hAnsi="Times New Roman" w:cs="Times New Roman"/>
          <w:sz w:val="24"/>
          <w:szCs w:val="24"/>
          <w:lang w:val="en-US"/>
        </w:rPr>
        <w:t>Table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
        <w:gridCol w:w="3483"/>
        <w:gridCol w:w="706"/>
        <w:gridCol w:w="706"/>
        <w:gridCol w:w="706"/>
        <w:gridCol w:w="705"/>
        <w:gridCol w:w="706"/>
        <w:gridCol w:w="747"/>
        <w:gridCol w:w="1146"/>
      </w:tblGrid>
      <w:tr w:rsidR="00334D55" w:rsidRPr="00E1119C" w:rsidTr="00D57812">
        <w:trPr>
          <w:trHeight w:val="497"/>
          <w:jc w:val="center"/>
        </w:trPr>
        <w:tc>
          <w:tcPr>
            <w:tcW w:w="442" w:type="dxa"/>
            <w:vAlign w:val="center"/>
          </w:tcPr>
          <w:p w:rsidR="00334D55" w:rsidRPr="00E1119C" w:rsidRDefault="00334D55" w:rsidP="00D57812">
            <w:pPr>
              <w:pStyle w:val="a3"/>
              <w:jc w:val="both"/>
              <w:rPr>
                <w:b/>
                <w:sz w:val="22"/>
                <w:szCs w:val="22"/>
              </w:rPr>
            </w:pPr>
            <w:r w:rsidRPr="00E1119C">
              <w:rPr>
                <w:b/>
                <w:sz w:val="22"/>
                <w:szCs w:val="22"/>
              </w:rPr>
              <w:t>N</w:t>
            </w:r>
          </w:p>
        </w:tc>
        <w:tc>
          <w:tcPr>
            <w:tcW w:w="3601" w:type="dxa"/>
            <w:vAlign w:val="center"/>
          </w:tcPr>
          <w:p w:rsidR="00334D55" w:rsidRPr="007C2A84" w:rsidRDefault="00334D55" w:rsidP="00D57812">
            <w:pPr>
              <w:pStyle w:val="a3"/>
              <w:jc w:val="both"/>
              <w:rPr>
                <w:b/>
                <w:sz w:val="22"/>
                <w:szCs w:val="22"/>
                <w:lang w:val="en-US"/>
              </w:rPr>
            </w:pPr>
            <w:r>
              <w:rPr>
                <w:b/>
                <w:sz w:val="22"/>
                <w:szCs w:val="22"/>
                <w:lang w:val="en-US"/>
              </w:rPr>
              <w:t>Name of courses</w:t>
            </w:r>
          </w:p>
        </w:tc>
        <w:tc>
          <w:tcPr>
            <w:tcW w:w="709" w:type="dxa"/>
            <w:vAlign w:val="center"/>
          </w:tcPr>
          <w:p w:rsidR="00334D55" w:rsidRPr="00E1119C" w:rsidRDefault="00334D55" w:rsidP="00D57812">
            <w:pPr>
              <w:pStyle w:val="a3"/>
              <w:jc w:val="both"/>
              <w:rPr>
                <w:b/>
                <w:sz w:val="22"/>
                <w:szCs w:val="22"/>
              </w:rPr>
            </w:pPr>
            <w:r w:rsidRPr="00E1119C">
              <w:rPr>
                <w:b/>
                <w:sz w:val="22"/>
                <w:szCs w:val="22"/>
              </w:rPr>
              <w:t>2010</w:t>
            </w:r>
          </w:p>
        </w:tc>
        <w:tc>
          <w:tcPr>
            <w:tcW w:w="709" w:type="dxa"/>
            <w:vAlign w:val="center"/>
          </w:tcPr>
          <w:p w:rsidR="00334D55" w:rsidRPr="00E1119C" w:rsidRDefault="00334D55" w:rsidP="00D57812">
            <w:pPr>
              <w:pStyle w:val="a3"/>
              <w:jc w:val="both"/>
              <w:rPr>
                <w:b/>
                <w:sz w:val="22"/>
                <w:szCs w:val="22"/>
              </w:rPr>
            </w:pPr>
            <w:r w:rsidRPr="00E1119C">
              <w:rPr>
                <w:b/>
                <w:sz w:val="22"/>
                <w:szCs w:val="22"/>
              </w:rPr>
              <w:t>2011</w:t>
            </w:r>
          </w:p>
        </w:tc>
        <w:tc>
          <w:tcPr>
            <w:tcW w:w="709" w:type="dxa"/>
            <w:vAlign w:val="center"/>
          </w:tcPr>
          <w:p w:rsidR="00334D55" w:rsidRPr="00E1119C" w:rsidRDefault="00334D55" w:rsidP="00D57812">
            <w:pPr>
              <w:pStyle w:val="a3"/>
              <w:jc w:val="both"/>
              <w:rPr>
                <w:b/>
                <w:sz w:val="22"/>
                <w:szCs w:val="22"/>
              </w:rPr>
            </w:pPr>
            <w:r w:rsidRPr="00E1119C">
              <w:rPr>
                <w:b/>
                <w:sz w:val="22"/>
                <w:szCs w:val="22"/>
              </w:rPr>
              <w:t>2012</w:t>
            </w:r>
          </w:p>
        </w:tc>
        <w:tc>
          <w:tcPr>
            <w:tcW w:w="708" w:type="dxa"/>
            <w:vAlign w:val="center"/>
          </w:tcPr>
          <w:p w:rsidR="00334D55" w:rsidRPr="00E1119C" w:rsidRDefault="00334D55" w:rsidP="00D57812">
            <w:pPr>
              <w:pStyle w:val="a3"/>
              <w:jc w:val="both"/>
              <w:rPr>
                <w:b/>
                <w:sz w:val="22"/>
                <w:szCs w:val="22"/>
              </w:rPr>
            </w:pPr>
            <w:r w:rsidRPr="00E1119C">
              <w:rPr>
                <w:b/>
                <w:sz w:val="22"/>
                <w:szCs w:val="22"/>
              </w:rPr>
              <w:t>2013</w:t>
            </w:r>
          </w:p>
        </w:tc>
        <w:tc>
          <w:tcPr>
            <w:tcW w:w="709" w:type="dxa"/>
            <w:vAlign w:val="center"/>
          </w:tcPr>
          <w:p w:rsidR="00334D55" w:rsidRPr="00E1119C" w:rsidRDefault="00334D55" w:rsidP="00D57812">
            <w:pPr>
              <w:pStyle w:val="a3"/>
              <w:jc w:val="both"/>
              <w:rPr>
                <w:b/>
                <w:sz w:val="22"/>
                <w:szCs w:val="22"/>
              </w:rPr>
            </w:pPr>
            <w:r w:rsidRPr="00E1119C">
              <w:rPr>
                <w:b/>
                <w:sz w:val="22"/>
                <w:szCs w:val="22"/>
              </w:rPr>
              <w:t>2014</w:t>
            </w:r>
          </w:p>
        </w:tc>
        <w:tc>
          <w:tcPr>
            <w:tcW w:w="752" w:type="dxa"/>
            <w:tcBorders>
              <w:right w:val="single" w:sz="4" w:space="0" w:color="auto"/>
            </w:tcBorders>
            <w:vAlign w:val="center"/>
          </w:tcPr>
          <w:p w:rsidR="00334D55" w:rsidRPr="00E1119C" w:rsidRDefault="00334D55" w:rsidP="00D57812">
            <w:pPr>
              <w:pStyle w:val="a3"/>
              <w:jc w:val="both"/>
              <w:rPr>
                <w:b/>
                <w:sz w:val="22"/>
                <w:szCs w:val="22"/>
              </w:rPr>
            </w:pPr>
            <w:r w:rsidRPr="00E1119C">
              <w:rPr>
                <w:b/>
                <w:sz w:val="22"/>
                <w:szCs w:val="22"/>
              </w:rPr>
              <w:t>2015</w:t>
            </w:r>
          </w:p>
        </w:tc>
        <w:tc>
          <w:tcPr>
            <w:tcW w:w="1163" w:type="dxa"/>
            <w:tcBorders>
              <w:left w:val="single" w:sz="4" w:space="0" w:color="auto"/>
            </w:tcBorders>
            <w:vAlign w:val="center"/>
          </w:tcPr>
          <w:p w:rsidR="00334D55" w:rsidRPr="00B04A44" w:rsidRDefault="00334D55" w:rsidP="00D57812">
            <w:pPr>
              <w:pStyle w:val="a3"/>
              <w:ind w:left="20"/>
              <w:jc w:val="both"/>
              <w:rPr>
                <w:b/>
                <w:sz w:val="22"/>
                <w:szCs w:val="22"/>
                <w:lang w:val="en-US"/>
              </w:rPr>
            </w:pPr>
            <w:r>
              <w:rPr>
                <w:b/>
                <w:sz w:val="22"/>
                <w:szCs w:val="22"/>
                <w:lang w:val="en-US"/>
              </w:rPr>
              <w:t>Total</w:t>
            </w:r>
          </w:p>
        </w:tc>
      </w:tr>
      <w:tr w:rsidR="00334D55" w:rsidRPr="00E1119C" w:rsidTr="00D57812">
        <w:trPr>
          <w:jc w:val="center"/>
        </w:trPr>
        <w:tc>
          <w:tcPr>
            <w:tcW w:w="442" w:type="dxa"/>
          </w:tcPr>
          <w:p w:rsidR="00334D55" w:rsidRPr="00E1119C" w:rsidRDefault="00334D55" w:rsidP="00D57812">
            <w:pPr>
              <w:pStyle w:val="a3"/>
              <w:jc w:val="both"/>
              <w:rPr>
                <w:sz w:val="22"/>
                <w:szCs w:val="22"/>
              </w:rPr>
            </w:pPr>
            <w:r w:rsidRPr="00E1119C">
              <w:rPr>
                <w:sz w:val="22"/>
                <w:szCs w:val="22"/>
              </w:rPr>
              <w:t>1</w:t>
            </w:r>
          </w:p>
        </w:tc>
        <w:tc>
          <w:tcPr>
            <w:tcW w:w="3601" w:type="dxa"/>
          </w:tcPr>
          <w:p w:rsidR="00334D55" w:rsidRPr="007C2A84" w:rsidRDefault="00334D55" w:rsidP="00D57812">
            <w:pPr>
              <w:pStyle w:val="a3"/>
              <w:jc w:val="both"/>
              <w:rPr>
                <w:sz w:val="22"/>
                <w:szCs w:val="22"/>
                <w:lang w:val="en-US"/>
              </w:rPr>
            </w:pPr>
            <w:r>
              <w:rPr>
                <w:sz w:val="22"/>
                <w:szCs w:val="22"/>
                <w:lang w:val="en-US"/>
              </w:rPr>
              <w:t>Extension courses</w:t>
            </w:r>
          </w:p>
        </w:tc>
        <w:tc>
          <w:tcPr>
            <w:tcW w:w="709" w:type="dxa"/>
            <w:vAlign w:val="center"/>
          </w:tcPr>
          <w:p w:rsidR="00334D55" w:rsidRPr="00E1119C" w:rsidRDefault="00334D55" w:rsidP="00D57812">
            <w:pPr>
              <w:pStyle w:val="a3"/>
              <w:jc w:val="both"/>
              <w:rPr>
                <w:sz w:val="22"/>
                <w:szCs w:val="22"/>
              </w:rPr>
            </w:pPr>
            <w:r w:rsidRPr="00E1119C">
              <w:rPr>
                <w:sz w:val="22"/>
                <w:szCs w:val="22"/>
              </w:rPr>
              <w:t>2</w:t>
            </w:r>
          </w:p>
        </w:tc>
        <w:tc>
          <w:tcPr>
            <w:tcW w:w="709" w:type="dxa"/>
            <w:vAlign w:val="center"/>
          </w:tcPr>
          <w:p w:rsidR="00334D55" w:rsidRPr="00E1119C" w:rsidRDefault="00334D55" w:rsidP="00D57812">
            <w:pPr>
              <w:pStyle w:val="a3"/>
              <w:jc w:val="both"/>
              <w:rPr>
                <w:sz w:val="22"/>
                <w:szCs w:val="22"/>
              </w:rPr>
            </w:pPr>
            <w:r w:rsidRPr="00E1119C">
              <w:rPr>
                <w:sz w:val="22"/>
                <w:szCs w:val="22"/>
              </w:rPr>
              <w:t>19</w:t>
            </w:r>
          </w:p>
        </w:tc>
        <w:tc>
          <w:tcPr>
            <w:tcW w:w="709" w:type="dxa"/>
            <w:vAlign w:val="center"/>
          </w:tcPr>
          <w:p w:rsidR="00334D55" w:rsidRPr="00E1119C" w:rsidRDefault="00334D55" w:rsidP="00D57812">
            <w:pPr>
              <w:pStyle w:val="a3"/>
              <w:jc w:val="both"/>
              <w:rPr>
                <w:sz w:val="22"/>
                <w:szCs w:val="22"/>
              </w:rPr>
            </w:pPr>
            <w:r w:rsidRPr="00E1119C">
              <w:rPr>
                <w:sz w:val="22"/>
                <w:szCs w:val="22"/>
              </w:rPr>
              <w:t>2</w:t>
            </w:r>
          </w:p>
        </w:tc>
        <w:tc>
          <w:tcPr>
            <w:tcW w:w="708" w:type="dxa"/>
            <w:vAlign w:val="center"/>
          </w:tcPr>
          <w:p w:rsidR="00334D55" w:rsidRPr="00E1119C" w:rsidRDefault="00334D55" w:rsidP="00D57812">
            <w:pPr>
              <w:pStyle w:val="a3"/>
              <w:jc w:val="both"/>
              <w:rPr>
                <w:sz w:val="22"/>
                <w:szCs w:val="22"/>
              </w:rPr>
            </w:pPr>
            <w:r w:rsidRPr="00E1119C">
              <w:rPr>
                <w:sz w:val="22"/>
                <w:szCs w:val="22"/>
              </w:rPr>
              <w:t>22</w:t>
            </w:r>
          </w:p>
        </w:tc>
        <w:tc>
          <w:tcPr>
            <w:tcW w:w="709" w:type="dxa"/>
            <w:vAlign w:val="center"/>
          </w:tcPr>
          <w:p w:rsidR="00334D55" w:rsidRPr="00E1119C" w:rsidRDefault="00334D55" w:rsidP="00D57812">
            <w:pPr>
              <w:pStyle w:val="a3"/>
              <w:jc w:val="both"/>
              <w:rPr>
                <w:sz w:val="22"/>
                <w:szCs w:val="22"/>
              </w:rPr>
            </w:pPr>
            <w:r w:rsidRPr="00E1119C">
              <w:rPr>
                <w:sz w:val="22"/>
                <w:szCs w:val="22"/>
              </w:rPr>
              <w:t>11</w:t>
            </w:r>
          </w:p>
        </w:tc>
        <w:tc>
          <w:tcPr>
            <w:tcW w:w="752" w:type="dxa"/>
            <w:tcBorders>
              <w:right w:val="single" w:sz="4" w:space="0" w:color="auto"/>
            </w:tcBorders>
            <w:vAlign w:val="center"/>
          </w:tcPr>
          <w:p w:rsidR="00334D55" w:rsidRPr="00E1119C" w:rsidRDefault="00334D55" w:rsidP="00D57812">
            <w:pPr>
              <w:pStyle w:val="a3"/>
              <w:jc w:val="both"/>
              <w:rPr>
                <w:sz w:val="22"/>
                <w:szCs w:val="22"/>
              </w:rPr>
            </w:pPr>
            <w:r w:rsidRPr="00E1119C">
              <w:rPr>
                <w:sz w:val="22"/>
                <w:szCs w:val="22"/>
              </w:rPr>
              <w:t>30</w:t>
            </w:r>
          </w:p>
        </w:tc>
        <w:tc>
          <w:tcPr>
            <w:tcW w:w="1163" w:type="dxa"/>
            <w:tcBorders>
              <w:left w:val="single" w:sz="4" w:space="0" w:color="auto"/>
            </w:tcBorders>
            <w:vAlign w:val="center"/>
          </w:tcPr>
          <w:p w:rsidR="00334D55" w:rsidRPr="00E1119C" w:rsidRDefault="00334D55" w:rsidP="00D57812">
            <w:pPr>
              <w:pStyle w:val="a3"/>
              <w:ind w:left="404"/>
              <w:jc w:val="both"/>
              <w:rPr>
                <w:sz w:val="22"/>
                <w:szCs w:val="22"/>
              </w:rPr>
            </w:pPr>
            <w:r w:rsidRPr="00E1119C">
              <w:rPr>
                <w:sz w:val="22"/>
                <w:szCs w:val="22"/>
              </w:rPr>
              <w:t>86</w:t>
            </w:r>
          </w:p>
        </w:tc>
      </w:tr>
      <w:tr w:rsidR="00334D55" w:rsidRPr="00E1119C" w:rsidTr="00D57812">
        <w:trPr>
          <w:trHeight w:val="207"/>
          <w:jc w:val="center"/>
        </w:trPr>
        <w:tc>
          <w:tcPr>
            <w:tcW w:w="442" w:type="dxa"/>
          </w:tcPr>
          <w:p w:rsidR="00334D55" w:rsidRPr="00E1119C" w:rsidRDefault="00334D55" w:rsidP="00D57812">
            <w:pPr>
              <w:pStyle w:val="a3"/>
              <w:jc w:val="both"/>
              <w:rPr>
                <w:sz w:val="22"/>
                <w:szCs w:val="22"/>
              </w:rPr>
            </w:pPr>
            <w:r w:rsidRPr="00E1119C">
              <w:rPr>
                <w:sz w:val="22"/>
                <w:szCs w:val="22"/>
              </w:rPr>
              <w:t>2</w:t>
            </w:r>
          </w:p>
        </w:tc>
        <w:tc>
          <w:tcPr>
            <w:tcW w:w="3601" w:type="dxa"/>
          </w:tcPr>
          <w:p w:rsidR="00334D55" w:rsidRPr="007C2A84" w:rsidRDefault="00334D55" w:rsidP="00D57812">
            <w:pPr>
              <w:pStyle w:val="a3"/>
              <w:jc w:val="both"/>
              <w:rPr>
                <w:sz w:val="22"/>
                <w:szCs w:val="22"/>
                <w:lang w:val="en-US"/>
              </w:rPr>
            </w:pPr>
            <w:r>
              <w:rPr>
                <w:sz w:val="22"/>
                <w:szCs w:val="22"/>
                <w:lang w:val="en-US"/>
              </w:rPr>
              <w:t>Professional retraining</w:t>
            </w:r>
          </w:p>
        </w:tc>
        <w:tc>
          <w:tcPr>
            <w:tcW w:w="709" w:type="dxa"/>
            <w:vAlign w:val="center"/>
          </w:tcPr>
          <w:p w:rsidR="00334D55" w:rsidRPr="00E1119C" w:rsidRDefault="00334D55" w:rsidP="00D57812">
            <w:pPr>
              <w:pStyle w:val="a3"/>
              <w:jc w:val="both"/>
              <w:rPr>
                <w:sz w:val="22"/>
                <w:szCs w:val="22"/>
              </w:rPr>
            </w:pPr>
            <w:r w:rsidRPr="00E1119C">
              <w:rPr>
                <w:sz w:val="22"/>
                <w:szCs w:val="22"/>
              </w:rPr>
              <w:t>1</w:t>
            </w:r>
          </w:p>
        </w:tc>
        <w:tc>
          <w:tcPr>
            <w:tcW w:w="709" w:type="dxa"/>
            <w:vAlign w:val="center"/>
          </w:tcPr>
          <w:p w:rsidR="00334D55" w:rsidRPr="00E1119C" w:rsidRDefault="00334D55" w:rsidP="00D57812">
            <w:pPr>
              <w:pStyle w:val="a3"/>
              <w:jc w:val="both"/>
              <w:rPr>
                <w:sz w:val="22"/>
                <w:szCs w:val="22"/>
              </w:rPr>
            </w:pPr>
            <w:r w:rsidRPr="00E1119C">
              <w:rPr>
                <w:sz w:val="22"/>
                <w:szCs w:val="22"/>
              </w:rPr>
              <w:t>3</w:t>
            </w:r>
          </w:p>
        </w:tc>
        <w:tc>
          <w:tcPr>
            <w:tcW w:w="709" w:type="dxa"/>
            <w:vAlign w:val="center"/>
          </w:tcPr>
          <w:p w:rsidR="00334D55" w:rsidRPr="00E1119C" w:rsidRDefault="00334D55" w:rsidP="00D57812">
            <w:pPr>
              <w:pStyle w:val="a3"/>
              <w:jc w:val="both"/>
              <w:rPr>
                <w:sz w:val="22"/>
                <w:szCs w:val="22"/>
              </w:rPr>
            </w:pPr>
            <w:r w:rsidRPr="00E1119C">
              <w:rPr>
                <w:sz w:val="22"/>
                <w:szCs w:val="22"/>
              </w:rPr>
              <w:t>15</w:t>
            </w:r>
          </w:p>
        </w:tc>
        <w:tc>
          <w:tcPr>
            <w:tcW w:w="708" w:type="dxa"/>
            <w:vAlign w:val="center"/>
          </w:tcPr>
          <w:p w:rsidR="00334D55" w:rsidRPr="00E1119C" w:rsidRDefault="00334D55" w:rsidP="00D57812">
            <w:pPr>
              <w:pStyle w:val="a3"/>
              <w:jc w:val="both"/>
              <w:rPr>
                <w:sz w:val="22"/>
                <w:szCs w:val="22"/>
              </w:rPr>
            </w:pPr>
            <w:r w:rsidRPr="00E1119C">
              <w:rPr>
                <w:sz w:val="22"/>
                <w:szCs w:val="22"/>
              </w:rPr>
              <w:t>3</w:t>
            </w:r>
          </w:p>
        </w:tc>
        <w:tc>
          <w:tcPr>
            <w:tcW w:w="709" w:type="dxa"/>
            <w:vAlign w:val="center"/>
          </w:tcPr>
          <w:p w:rsidR="00334D55" w:rsidRPr="00E1119C" w:rsidRDefault="00334D55" w:rsidP="00D57812">
            <w:pPr>
              <w:pStyle w:val="a3"/>
              <w:jc w:val="both"/>
              <w:rPr>
                <w:sz w:val="22"/>
                <w:szCs w:val="22"/>
              </w:rPr>
            </w:pPr>
            <w:r w:rsidRPr="00E1119C">
              <w:rPr>
                <w:sz w:val="22"/>
                <w:szCs w:val="22"/>
              </w:rPr>
              <w:t>28</w:t>
            </w:r>
          </w:p>
        </w:tc>
        <w:tc>
          <w:tcPr>
            <w:tcW w:w="752" w:type="dxa"/>
            <w:tcBorders>
              <w:right w:val="single" w:sz="4" w:space="0" w:color="auto"/>
            </w:tcBorders>
            <w:vAlign w:val="center"/>
          </w:tcPr>
          <w:p w:rsidR="00334D55" w:rsidRPr="00E1119C" w:rsidRDefault="00334D55" w:rsidP="00D57812">
            <w:pPr>
              <w:pStyle w:val="a3"/>
              <w:jc w:val="both"/>
              <w:rPr>
                <w:sz w:val="22"/>
                <w:szCs w:val="22"/>
              </w:rPr>
            </w:pPr>
            <w:r w:rsidRPr="00E1119C">
              <w:rPr>
                <w:sz w:val="22"/>
                <w:szCs w:val="22"/>
              </w:rPr>
              <w:t>7</w:t>
            </w:r>
          </w:p>
        </w:tc>
        <w:tc>
          <w:tcPr>
            <w:tcW w:w="1163" w:type="dxa"/>
            <w:tcBorders>
              <w:left w:val="single" w:sz="4" w:space="0" w:color="auto"/>
            </w:tcBorders>
            <w:vAlign w:val="center"/>
          </w:tcPr>
          <w:p w:rsidR="00334D55" w:rsidRPr="00E1119C" w:rsidRDefault="00334D55" w:rsidP="00D57812">
            <w:pPr>
              <w:pStyle w:val="a3"/>
              <w:ind w:left="340"/>
              <w:jc w:val="both"/>
              <w:rPr>
                <w:sz w:val="22"/>
                <w:szCs w:val="22"/>
              </w:rPr>
            </w:pPr>
            <w:r w:rsidRPr="00E1119C">
              <w:rPr>
                <w:sz w:val="22"/>
                <w:szCs w:val="22"/>
              </w:rPr>
              <w:t>57</w:t>
            </w:r>
          </w:p>
        </w:tc>
      </w:tr>
      <w:tr w:rsidR="00334D55" w:rsidRPr="00E1119C" w:rsidTr="00D57812">
        <w:trPr>
          <w:trHeight w:val="245"/>
          <w:jc w:val="center"/>
        </w:trPr>
        <w:tc>
          <w:tcPr>
            <w:tcW w:w="442" w:type="dxa"/>
          </w:tcPr>
          <w:p w:rsidR="00334D55" w:rsidRPr="00E1119C" w:rsidRDefault="00334D55" w:rsidP="00D57812">
            <w:pPr>
              <w:pStyle w:val="a3"/>
              <w:jc w:val="both"/>
              <w:rPr>
                <w:sz w:val="22"/>
                <w:szCs w:val="22"/>
              </w:rPr>
            </w:pPr>
            <w:r w:rsidRPr="00E1119C">
              <w:rPr>
                <w:sz w:val="22"/>
                <w:szCs w:val="22"/>
              </w:rPr>
              <w:t>3</w:t>
            </w:r>
          </w:p>
        </w:tc>
        <w:tc>
          <w:tcPr>
            <w:tcW w:w="3601" w:type="dxa"/>
          </w:tcPr>
          <w:p w:rsidR="00334D55" w:rsidRPr="007C2A84" w:rsidRDefault="00334D55" w:rsidP="00D57812">
            <w:pPr>
              <w:pStyle w:val="a3"/>
              <w:jc w:val="both"/>
              <w:rPr>
                <w:sz w:val="22"/>
                <w:szCs w:val="22"/>
                <w:lang w:val="en-US"/>
              </w:rPr>
            </w:pPr>
            <w:r>
              <w:rPr>
                <w:sz w:val="22"/>
                <w:szCs w:val="22"/>
                <w:lang w:val="en-US"/>
              </w:rPr>
              <w:t>Modules</w:t>
            </w:r>
          </w:p>
        </w:tc>
        <w:tc>
          <w:tcPr>
            <w:tcW w:w="709" w:type="dxa"/>
            <w:vAlign w:val="center"/>
          </w:tcPr>
          <w:p w:rsidR="00334D55" w:rsidRPr="00E1119C" w:rsidRDefault="00334D55" w:rsidP="00D57812">
            <w:pPr>
              <w:pStyle w:val="a3"/>
              <w:jc w:val="both"/>
              <w:rPr>
                <w:sz w:val="22"/>
                <w:szCs w:val="22"/>
              </w:rPr>
            </w:pPr>
          </w:p>
        </w:tc>
        <w:tc>
          <w:tcPr>
            <w:tcW w:w="709" w:type="dxa"/>
            <w:vAlign w:val="center"/>
          </w:tcPr>
          <w:p w:rsidR="00334D55" w:rsidRPr="00E1119C" w:rsidRDefault="00334D55" w:rsidP="00D57812">
            <w:pPr>
              <w:pStyle w:val="a3"/>
              <w:jc w:val="both"/>
              <w:rPr>
                <w:sz w:val="22"/>
                <w:szCs w:val="22"/>
              </w:rPr>
            </w:pPr>
            <w:r w:rsidRPr="00E1119C">
              <w:rPr>
                <w:sz w:val="22"/>
                <w:szCs w:val="22"/>
              </w:rPr>
              <w:t>96</w:t>
            </w:r>
          </w:p>
        </w:tc>
        <w:tc>
          <w:tcPr>
            <w:tcW w:w="709" w:type="dxa"/>
            <w:vAlign w:val="center"/>
          </w:tcPr>
          <w:p w:rsidR="00334D55" w:rsidRPr="00E1119C" w:rsidRDefault="00334D55" w:rsidP="00D57812">
            <w:pPr>
              <w:pStyle w:val="a3"/>
              <w:jc w:val="both"/>
              <w:rPr>
                <w:sz w:val="22"/>
                <w:szCs w:val="22"/>
              </w:rPr>
            </w:pPr>
          </w:p>
        </w:tc>
        <w:tc>
          <w:tcPr>
            <w:tcW w:w="708" w:type="dxa"/>
            <w:vAlign w:val="center"/>
          </w:tcPr>
          <w:p w:rsidR="00334D55" w:rsidRPr="00E1119C" w:rsidRDefault="00334D55" w:rsidP="00D57812">
            <w:pPr>
              <w:pStyle w:val="a3"/>
              <w:jc w:val="both"/>
              <w:rPr>
                <w:sz w:val="22"/>
                <w:szCs w:val="22"/>
              </w:rPr>
            </w:pPr>
          </w:p>
        </w:tc>
        <w:tc>
          <w:tcPr>
            <w:tcW w:w="709" w:type="dxa"/>
            <w:vAlign w:val="center"/>
          </w:tcPr>
          <w:p w:rsidR="00334D55" w:rsidRPr="00E1119C" w:rsidRDefault="00334D55" w:rsidP="00D57812">
            <w:pPr>
              <w:pStyle w:val="a3"/>
              <w:jc w:val="both"/>
              <w:rPr>
                <w:sz w:val="22"/>
                <w:szCs w:val="22"/>
              </w:rPr>
            </w:pPr>
          </w:p>
        </w:tc>
        <w:tc>
          <w:tcPr>
            <w:tcW w:w="752" w:type="dxa"/>
            <w:tcBorders>
              <w:right w:val="single" w:sz="4" w:space="0" w:color="auto"/>
            </w:tcBorders>
            <w:vAlign w:val="center"/>
          </w:tcPr>
          <w:p w:rsidR="00334D55" w:rsidRPr="00E1119C" w:rsidRDefault="00334D55" w:rsidP="00D57812">
            <w:pPr>
              <w:pStyle w:val="a3"/>
              <w:jc w:val="both"/>
              <w:rPr>
                <w:sz w:val="22"/>
                <w:szCs w:val="22"/>
              </w:rPr>
            </w:pPr>
          </w:p>
        </w:tc>
        <w:tc>
          <w:tcPr>
            <w:tcW w:w="1163" w:type="dxa"/>
            <w:tcBorders>
              <w:left w:val="single" w:sz="4" w:space="0" w:color="auto"/>
            </w:tcBorders>
            <w:vAlign w:val="center"/>
          </w:tcPr>
          <w:p w:rsidR="00334D55" w:rsidRPr="00E1119C" w:rsidRDefault="00334D55" w:rsidP="00D57812">
            <w:pPr>
              <w:pStyle w:val="a3"/>
              <w:ind w:left="404"/>
              <w:jc w:val="both"/>
              <w:rPr>
                <w:sz w:val="22"/>
                <w:szCs w:val="22"/>
              </w:rPr>
            </w:pPr>
            <w:r w:rsidRPr="00E1119C">
              <w:rPr>
                <w:sz w:val="22"/>
                <w:szCs w:val="22"/>
              </w:rPr>
              <w:t>96</w:t>
            </w:r>
          </w:p>
        </w:tc>
      </w:tr>
      <w:tr w:rsidR="00334D55" w:rsidRPr="00E1119C" w:rsidTr="00D57812">
        <w:trPr>
          <w:jc w:val="center"/>
        </w:trPr>
        <w:tc>
          <w:tcPr>
            <w:tcW w:w="442" w:type="dxa"/>
          </w:tcPr>
          <w:p w:rsidR="00334D55" w:rsidRPr="00E1119C" w:rsidRDefault="00334D55" w:rsidP="00D57812">
            <w:pPr>
              <w:pStyle w:val="a3"/>
              <w:jc w:val="both"/>
              <w:rPr>
                <w:sz w:val="22"/>
                <w:szCs w:val="22"/>
              </w:rPr>
            </w:pPr>
          </w:p>
        </w:tc>
        <w:tc>
          <w:tcPr>
            <w:tcW w:w="3601" w:type="dxa"/>
          </w:tcPr>
          <w:p w:rsidR="00334D55" w:rsidRPr="00B04A44" w:rsidRDefault="00334D55" w:rsidP="00D57812">
            <w:pPr>
              <w:pStyle w:val="a3"/>
              <w:jc w:val="both"/>
              <w:rPr>
                <w:b/>
                <w:sz w:val="22"/>
                <w:szCs w:val="22"/>
                <w:lang w:val="en-US"/>
              </w:rPr>
            </w:pPr>
            <w:r>
              <w:rPr>
                <w:b/>
                <w:sz w:val="22"/>
                <w:szCs w:val="22"/>
                <w:lang w:val="en-US"/>
              </w:rPr>
              <w:t>Total</w:t>
            </w:r>
          </w:p>
        </w:tc>
        <w:tc>
          <w:tcPr>
            <w:tcW w:w="709" w:type="dxa"/>
            <w:vAlign w:val="center"/>
          </w:tcPr>
          <w:p w:rsidR="00334D55" w:rsidRPr="00E1119C" w:rsidRDefault="00334D55" w:rsidP="00D57812">
            <w:pPr>
              <w:pStyle w:val="a3"/>
              <w:jc w:val="both"/>
              <w:rPr>
                <w:b/>
                <w:sz w:val="22"/>
                <w:szCs w:val="22"/>
              </w:rPr>
            </w:pPr>
          </w:p>
        </w:tc>
        <w:tc>
          <w:tcPr>
            <w:tcW w:w="709" w:type="dxa"/>
            <w:vAlign w:val="center"/>
          </w:tcPr>
          <w:p w:rsidR="00334D55" w:rsidRPr="00E1119C" w:rsidRDefault="00334D55" w:rsidP="00D57812">
            <w:pPr>
              <w:pStyle w:val="a3"/>
              <w:jc w:val="both"/>
              <w:rPr>
                <w:b/>
                <w:sz w:val="22"/>
                <w:szCs w:val="22"/>
              </w:rPr>
            </w:pPr>
          </w:p>
        </w:tc>
        <w:tc>
          <w:tcPr>
            <w:tcW w:w="709" w:type="dxa"/>
            <w:vAlign w:val="center"/>
          </w:tcPr>
          <w:p w:rsidR="00334D55" w:rsidRPr="00E1119C" w:rsidRDefault="00334D55" w:rsidP="00D57812">
            <w:pPr>
              <w:pStyle w:val="a3"/>
              <w:jc w:val="both"/>
              <w:rPr>
                <w:b/>
                <w:sz w:val="22"/>
                <w:szCs w:val="22"/>
              </w:rPr>
            </w:pPr>
          </w:p>
        </w:tc>
        <w:tc>
          <w:tcPr>
            <w:tcW w:w="708" w:type="dxa"/>
            <w:vAlign w:val="center"/>
          </w:tcPr>
          <w:p w:rsidR="00334D55" w:rsidRPr="00E1119C" w:rsidRDefault="00334D55" w:rsidP="00D57812">
            <w:pPr>
              <w:pStyle w:val="a3"/>
              <w:jc w:val="both"/>
              <w:rPr>
                <w:b/>
                <w:sz w:val="22"/>
                <w:szCs w:val="22"/>
              </w:rPr>
            </w:pPr>
          </w:p>
        </w:tc>
        <w:tc>
          <w:tcPr>
            <w:tcW w:w="709" w:type="dxa"/>
            <w:vAlign w:val="center"/>
          </w:tcPr>
          <w:p w:rsidR="00334D55" w:rsidRPr="00E1119C" w:rsidRDefault="00334D55" w:rsidP="00D57812">
            <w:pPr>
              <w:pStyle w:val="a3"/>
              <w:jc w:val="both"/>
              <w:rPr>
                <w:b/>
                <w:sz w:val="22"/>
                <w:szCs w:val="22"/>
              </w:rPr>
            </w:pPr>
          </w:p>
        </w:tc>
        <w:tc>
          <w:tcPr>
            <w:tcW w:w="752" w:type="dxa"/>
            <w:tcBorders>
              <w:right w:val="single" w:sz="4" w:space="0" w:color="auto"/>
            </w:tcBorders>
            <w:vAlign w:val="center"/>
          </w:tcPr>
          <w:p w:rsidR="00334D55" w:rsidRPr="00E1119C" w:rsidRDefault="00334D55" w:rsidP="00D57812">
            <w:pPr>
              <w:pStyle w:val="a3"/>
              <w:jc w:val="both"/>
              <w:rPr>
                <w:b/>
                <w:sz w:val="22"/>
                <w:szCs w:val="22"/>
              </w:rPr>
            </w:pPr>
          </w:p>
        </w:tc>
        <w:tc>
          <w:tcPr>
            <w:tcW w:w="1163" w:type="dxa"/>
            <w:tcBorders>
              <w:left w:val="single" w:sz="4" w:space="0" w:color="auto"/>
            </w:tcBorders>
            <w:vAlign w:val="center"/>
          </w:tcPr>
          <w:p w:rsidR="00334D55" w:rsidRPr="00E1119C" w:rsidRDefault="00334D55" w:rsidP="00D57812">
            <w:pPr>
              <w:pStyle w:val="a3"/>
              <w:ind w:left="212"/>
              <w:jc w:val="both"/>
              <w:rPr>
                <w:b/>
                <w:sz w:val="22"/>
                <w:szCs w:val="22"/>
              </w:rPr>
            </w:pPr>
            <w:r w:rsidRPr="00E1119C">
              <w:rPr>
                <w:b/>
                <w:sz w:val="22"/>
                <w:szCs w:val="22"/>
              </w:rPr>
              <w:t>239</w:t>
            </w:r>
          </w:p>
        </w:tc>
      </w:tr>
    </w:tbl>
    <w:p w:rsidR="00334D55" w:rsidRDefault="00334D55" w:rsidP="00334D55">
      <w:pPr>
        <w:spacing w:line="240" w:lineRule="auto"/>
        <w:rPr>
          <w:rFonts w:ascii="Times New Roman" w:hAnsi="Times New Roman" w:cs="Times New Roman"/>
          <w:sz w:val="24"/>
          <w:szCs w:val="24"/>
          <w:lang w:val="en-US"/>
        </w:rPr>
      </w:pPr>
    </w:p>
    <w:p w:rsidR="00334D55" w:rsidRDefault="00334D55" w:rsidP="00334D55">
      <w:pPr>
        <w:spacing w:line="240" w:lineRule="auto"/>
        <w:rPr>
          <w:rFonts w:ascii="Times New Roman" w:hAnsi="Times New Roman" w:cs="Times New Roman"/>
          <w:sz w:val="24"/>
          <w:szCs w:val="24"/>
          <w:lang w:val="en-US"/>
        </w:rPr>
      </w:pPr>
      <w:r w:rsidRPr="002B594C">
        <w:rPr>
          <w:rFonts w:ascii="Times New Roman" w:hAnsi="Times New Roman" w:cs="Times New Roman"/>
          <w:sz w:val="24"/>
          <w:szCs w:val="24"/>
          <w:lang w:val="en-US"/>
        </w:rPr>
        <w:t xml:space="preserve">Accounting and tracking of students on programs of additional professional education allows the mobile to respond to the individual needs of students, to make timely adjustments in the work plan, apply different forms of learning and technology. According to the chart, you can keep track of alternating increase and decrease of the number of educational programs developed refresher courses and retraining (Figure 1). It </w:t>
      </w:r>
      <w:proofErr w:type="gramStart"/>
      <w:r w:rsidRPr="002B594C">
        <w:rPr>
          <w:rFonts w:ascii="Times New Roman" w:hAnsi="Times New Roman" w:cs="Times New Roman"/>
          <w:sz w:val="24"/>
          <w:szCs w:val="24"/>
          <w:lang w:val="en-US"/>
        </w:rPr>
        <w:t>should be noted</w:t>
      </w:r>
      <w:proofErr w:type="gramEnd"/>
      <w:r w:rsidRPr="002B594C">
        <w:rPr>
          <w:rFonts w:ascii="Times New Roman" w:hAnsi="Times New Roman" w:cs="Times New Roman"/>
          <w:sz w:val="24"/>
          <w:szCs w:val="24"/>
          <w:lang w:val="en-US"/>
        </w:rPr>
        <w:t xml:space="preserve"> that the amount of increase or decrease in the directions depends on customer needs course programs.</w:t>
      </w:r>
      <w:r>
        <w:rPr>
          <w:rFonts w:ascii="Times New Roman" w:hAnsi="Times New Roman" w:cs="Times New Roman"/>
          <w:sz w:val="24"/>
          <w:szCs w:val="24"/>
          <w:lang w:val="en-US"/>
        </w:rPr>
        <w:t xml:space="preserve">     </w:t>
      </w:r>
    </w:p>
    <w:p w:rsidR="00334D55" w:rsidRDefault="00334D55" w:rsidP="00334D55">
      <w:pPr>
        <w:spacing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Figure 1. </w:t>
      </w:r>
    </w:p>
    <w:p w:rsidR="00334D55" w:rsidRDefault="00334D55" w:rsidP="00334D55">
      <w:pPr>
        <w:spacing w:line="240" w:lineRule="auto"/>
        <w:rPr>
          <w:rFonts w:ascii="Times New Roman" w:hAnsi="Times New Roman" w:cs="Times New Roman"/>
          <w:sz w:val="24"/>
          <w:szCs w:val="24"/>
          <w:lang w:val="en-US"/>
        </w:rPr>
      </w:pPr>
      <w:r w:rsidRPr="005B2BD0">
        <w:rPr>
          <w:rFonts w:ascii="Times New Roman" w:hAnsi="Times New Roman" w:cs="Times New Roman"/>
          <w:noProof/>
          <w:sz w:val="24"/>
          <w:szCs w:val="24"/>
        </w:rPr>
        <w:drawing>
          <wp:inline distT="0" distB="0" distL="0" distR="0" wp14:anchorId="449418DD" wp14:editId="008AACD5">
            <wp:extent cx="5783580" cy="1664335"/>
            <wp:effectExtent l="19050" t="0" r="26670" b="0"/>
            <wp:docPr id="1" name="Объект 6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334D55" w:rsidRDefault="00334D55" w:rsidP="00334D55">
      <w:pPr>
        <w:spacing w:line="240" w:lineRule="auto"/>
        <w:rPr>
          <w:rFonts w:ascii="Times New Roman" w:hAnsi="Times New Roman" w:cs="Times New Roman"/>
          <w:sz w:val="24"/>
          <w:szCs w:val="24"/>
          <w:lang w:val="en-US"/>
        </w:rPr>
      </w:pPr>
      <w:r w:rsidRPr="005B2BD0">
        <w:rPr>
          <w:rFonts w:ascii="Times New Roman" w:hAnsi="Times New Roman" w:cs="Times New Roman"/>
          <w:sz w:val="24"/>
          <w:szCs w:val="24"/>
          <w:lang w:val="en-US"/>
        </w:rPr>
        <w:t xml:space="preserve">Implementation of programs of additional professional education on </w:t>
      </w:r>
      <w:proofErr w:type="gramStart"/>
      <w:r w:rsidRPr="005B2BD0">
        <w:rPr>
          <w:rFonts w:ascii="Times New Roman" w:hAnsi="Times New Roman" w:cs="Times New Roman"/>
          <w:sz w:val="24"/>
          <w:szCs w:val="24"/>
          <w:lang w:val="en-US"/>
        </w:rPr>
        <w:t>a</w:t>
      </w:r>
      <w:proofErr w:type="gramEnd"/>
      <w:r w:rsidRPr="005B2BD0">
        <w:rPr>
          <w:rFonts w:ascii="Times New Roman" w:hAnsi="Times New Roman" w:cs="Times New Roman"/>
          <w:sz w:val="24"/>
          <w:szCs w:val="24"/>
          <w:lang w:val="en-US"/>
        </w:rPr>
        <w:t xml:space="preserve"> accumulative system allows you to design your own individual educational itinerary taking into account the professional needs, requests and professionals to choose the most appropriate form for themselves, the timing of development and formation of professional competence.</w:t>
      </w:r>
    </w:p>
    <w:p w:rsidR="00334D55" w:rsidRDefault="00334D55" w:rsidP="00334D55">
      <w:pPr>
        <w:spacing w:line="240" w:lineRule="auto"/>
        <w:jc w:val="right"/>
        <w:rPr>
          <w:rFonts w:ascii="Times New Roman" w:hAnsi="Times New Roman" w:cs="Times New Roman"/>
          <w:sz w:val="24"/>
          <w:szCs w:val="24"/>
          <w:lang w:val="en-US"/>
        </w:rPr>
      </w:pPr>
    </w:p>
    <w:p w:rsidR="00334D55" w:rsidRDefault="00334D55" w:rsidP="00334D55">
      <w:pPr>
        <w:spacing w:line="240" w:lineRule="auto"/>
        <w:jc w:val="right"/>
        <w:rPr>
          <w:rFonts w:ascii="Times New Roman" w:hAnsi="Times New Roman" w:cs="Times New Roman"/>
          <w:sz w:val="24"/>
          <w:szCs w:val="24"/>
          <w:lang w:val="en-US"/>
        </w:rPr>
      </w:pPr>
    </w:p>
    <w:p w:rsidR="00334D55" w:rsidRDefault="00334D55" w:rsidP="00334D55">
      <w:pPr>
        <w:spacing w:line="240" w:lineRule="auto"/>
        <w:jc w:val="right"/>
        <w:rPr>
          <w:rFonts w:ascii="Times New Roman" w:hAnsi="Times New Roman" w:cs="Times New Roman"/>
          <w:sz w:val="24"/>
          <w:szCs w:val="24"/>
          <w:lang w:val="en-US"/>
        </w:rPr>
      </w:pPr>
    </w:p>
    <w:p w:rsidR="00334D55" w:rsidRDefault="00334D55" w:rsidP="00334D55">
      <w:pPr>
        <w:spacing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lastRenderedPageBreak/>
        <w:t>Table 2.</w:t>
      </w:r>
    </w:p>
    <w:p w:rsidR="00334D55" w:rsidRDefault="00334D55" w:rsidP="00334D5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Statistics on extension courses and professional retraining. (2010-2015)</w:t>
      </w:r>
    </w:p>
    <w:tbl>
      <w:tblPr>
        <w:tblW w:w="93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
        <w:gridCol w:w="2560"/>
        <w:gridCol w:w="851"/>
        <w:gridCol w:w="850"/>
        <w:gridCol w:w="851"/>
        <w:gridCol w:w="992"/>
        <w:gridCol w:w="850"/>
        <w:gridCol w:w="993"/>
        <w:gridCol w:w="983"/>
      </w:tblGrid>
      <w:tr w:rsidR="00334D55" w:rsidRPr="00DD3AC2" w:rsidTr="00D57812">
        <w:trPr>
          <w:trHeight w:val="535"/>
          <w:jc w:val="center"/>
        </w:trPr>
        <w:tc>
          <w:tcPr>
            <w:tcW w:w="410" w:type="dxa"/>
            <w:vAlign w:val="center"/>
          </w:tcPr>
          <w:p w:rsidR="00334D55" w:rsidRPr="00DD3AC2" w:rsidRDefault="00334D55" w:rsidP="00D57812">
            <w:pPr>
              <w:pStyle w:val="a3"/>
              <w:jc w:val="both"/>
              <w:rPr>
                <w:sz w:val="22"/>
                <w:szCs w:val="22"/>
              </w:rPr>
            </w:pPr>
            <w:r w:rsidRPr="00DD3AC2">
              <w:rPr>
                <w:sz w:val="22"/>
                <w:szCs w:val="22"/>
              </w:rPr>
              <w:t>№</w:t>
            </w:r>
          </w:p>
        </w:tc>
        <w:tc>
          <w:tcPr>
            <w:tcW w:w="2560" w:type="dxa"/>
            <w:vAlign w:val="center"/>
          </w:tcPr>
          <w:p w:rsidR="00334D55" w:rsidRPr="008A58FF" w:rsidRDefault="00334D55" w:rsidP="00D57812">
            <w:pPr>
              <w:pStyle w:val="a3"/>
              <w:rPr>
                <w:sz w:val="22"/>
                <w:szCs w:val="22"/>
                <w:lang w:val="en-US"/>
              </w:rPr>
            </w:pPr>
            <w:r>
              <w:rPr>
                <w:sz w:val="22"/>
                <w:szCs w:val="22"/>
                <w:lang w:val="en-US"/>
              </w:rPr>
              <w:t>Name of programs</w:t>
            </w:r>
          </w:p>
        </w:tc>
        <w:tc>
          <w:tcPr>
            <w:tcW w:w="851" w:type="dxa"/>
            <w:vAlign w:val="center"/>
          </w:tcPr>
          <w:p w:rsidR="00334D55" w:rsidRPr="00CE040D" w:rsidRDefault="00334D55" w:rsidP="00D57812">
            <w:pPr>
              <w:pStyle w:val="a3"/>
              <w:jc w:val="both"/>
              <w:rPr>
                <w:sz w:val="22"/>
                <w:szCs w:val="22"/>
                <w:lang w:val="en-US"/>
              </w:rPr>
            </w:pPr>
            <w:r w:rsidRPr="00DD3AC2">
              <w:rPr>
                <w:sz w:val="22"/>
                <w:szCs w:val="22"/>
              </w:rPr>
              <w:t>2010 г</w:t>
            </w:r>
          </w:p>
        </w:tc>
        <w:tc>
          <w:tcPr>
            <w:tcW w:w="850" w:type="dxa"/>
            <w:vAlign w:val="center"/>
          </w:tcPr>
          <w:p w:rsidR="00334D55" w:rsidRPr="00DD3AC2" w:rsidRDefault="00334D55" w:rsidP="00D57812">
            <w:pPr>
              <w:pStyle w:val="a3"/>
              <w:rPr>
                <w:sz w:val="22"/>
                <w:szCs w:val="22"/>
              </w:rPr>
            </w:pPr>
            <w:r w:rsidRPr="00DD3AC2">
              <w:rPr>
                <w:sz w:val="22"/>
                <w:szCs w:val="22"/>
              </w:rPr>
              <w:t>2011 г</w:t>
            </w:r>
          </w:p>
        </w:tc>
        <w:tc>
          <w:tcPr>
            <w:tcW w:w="851" w:type="dxa"/>
            <w:vAlign w:val="center"/>
          </w:tcPr>
          <w:p w:rsidR="00334D55" w:rsidRPr="00DD3AC2" w:rsidRDefault="00334D55" w:rsidP="00D57812">
            <w:pPr>
              <w:pStyle w:val="a3"/>
              <w:rPr>
                <w:sz w:val="22"/>
                <w:szCs w:val="22"/>
              </w:rPr>
            </w:pPr>
            <w:r w:rsidRPr="00DD3AC2">
              <w:rPr>
                <w:sz w:val="22"/>
                <w:szCs w:val="22"/>
              </w:rPr>
              <w:t>2012 г</w:t>
            </w:r>
          </w:p>
        </w:tc>
        <w:tc>
          <w:tcPr>
            <w:tcW w:w="992" w:type="dxa"/>
            <w:vAlign w:val="center"/>
          </w:tcPr>
          <w:p w:rsidR="00334D55" w:rsidRPr="00CE040D" w:rsidRDefault="00334D55" w:rsidP="00D57812">
            <w:pPr>
              <w:pStyle w:val="a3"/>
              <w:rPr>
                <w:sz w:val="22"/>
                <w:szCs w:val="22"/>
                <w:lang w:val="en-US"/>
              </w:rPr>
            </w:pPr>
            <w:r w:rsidRPr="00DD3AC2">
              <w:rPr>
                <w:sz w:val="22"/>
                <w:szCs w:val="22"/>
              </w:rPr>
              <w:t>2013 г</w:t>
            </w:r>
          </w:p>
        </w:tc>
        <w:tc>
          <w:tcPr>
            <w:tcW w:w="850" w:type="dxa"/>
            <w:tcBorders>
              <w:right w:val="single" w:sz="4" w:space="0" w:color="auto"/>
            </w:tcBorders>
            <w:vAlign w:val="center"/>
          </w:tcPr>
          <w:p w:rsidR="00334D55" w:rsidRPr="00CE040D" w:rsidRDefault="00334D55" w:rsidP="00D57812">
            <w:pPr>
              <w:pStyle w:val="a3"/>
              <w:rPr>
                <w:sz w:val="22"/>
                <w:szCs w:val="22"/>
                <w:lang w:val="en-US"/>
              </w:rPr>
            </w:pPr>
            <w:r>
              <w:rPr>
                <w:sz w:val="22"/>
                <w:szCs w:val="22"/>
              </w:rPr>
              <w:t>2014 г</w:t>
            </w:r>
          </w:p>
        </w:tc>
        <w:tc>
          <w:tcPr>
            <w:tcW w:w="993" w:type="dxa"/>
            <w:tcBorders>
              <w:left w:val="single" w:sz="4" w:space="0" w:color="auto"/>
            </w:tcBorders>
            <w:vAlign w:val="center"/>
          </w:tcPr>
          <w:p w:rsidR="00334D55" w:rsidRDefault="00334D55" w:rsidP="00D57812">
            <w:pPr>
              <w:spacing w:line="240" w:lineRule="auto"/>
              <w:rPr>
                <w:rFonts w:ascii="Times New Roman" w:hAnsi="Times New Roman" w:cs="Times New Roman"/>
                <w:lang w:val="en-US"/>
              </w:rPr>
            </w:pPr>
          </w:p>
          <w:p w:rsidR="00334D55" w:rsidRPr="00CE040D" w:rsidRDefault="00334D55" w:rsidP="00D57812">
            <w:pPr>
              <w:spacing w:line="240" w:lineRule="auto"/>
              <w:rPr>
                <w:lang w:val="en-US"/>
              </w:rPr>
            </w:pPr>
            <w:r w:rsidRPr="00DD3AC2">
              <w:rPr>
                <w:rFonts w:ascii="Times New Roman" w:hAnsi="Times New Roman" w:cs="Times New Roman"/>
              </w:rPr>
              <w:t>2015 г</w:t>
            </w:r>
          </w:p>
        </w:tc>
        <w:tc>
          <w:tcPr>
            <w:tcW w:w="983" w:type="dxa"/>
            <w:vAlign w:val="center"/>
          </w:tcPr>
          <w:p w:rsidR="00334D55" w:rsidRPr="00CE040D" w:rsidRDefault="00334D55" w:rsidP="00D57812">
            <w:pPr>
              <w:pStyle w:val="a3"/>
              <w:jc w:val="both"/>
              <w:rPr>
                <w:sz w:val="22"/>
                <w:szCs w:val="22"/>
                <w:lang w:val="en-US"/>
              </w:rPr>
            </w:pPr>
            <w:r>
              <w:rPr>
                <w:sz w:val="22"/>
                <w:szCs w:val="22"/>
                <w:lang w:val="en-US"/>
              </w:rPr>
              <w:t>Total</w:t>
            </w:r>
          </w:p>
        </w:tc>
      </w:tr>
      <w:tr w:rsidR="00334D55" w:rsidRPr="00DD3AC2" w:rsidTr="00D57812">
        <w:trPr>
          <w:trHeight w:val="351"/>
          <w:jc w:val="center"/>
        </w:trPr>
        <w:tc>
          <w:tcPr>
            <w:tcW w:w="410" w:type="dxa"/>
          </w:tcPr>
          <w:p w:rsidR="00334D55" w:rsidRPr="00DD3AC2" w:rsidRDefault="00334D55" w:rsidP="00D57812">
            <w:pPr>
              <w:pStyle w:val="a3"/>
              <w:jc w:val="both"/>
              <w:rPr>
                <w:sz w:val="22"/>
                <w:szCs w:val="22"/>
              </w:rPr>
            </w:pPr>
            <w:r w:rsidRPr="00DD3AC2">
              <w:rPr>
                <w:sz w:val="22"/>
                <w:szCs w:val="22"/>
              </w:rPr>
              <w:t>1</w:t>
            </w:r>
          </w:p>
        </w:tc>
        <w:tc>
          <w:tcPr>
            <w:tcW w:w="2560" w:type="dxa"/>
          </w:tcPr>
          <w:p w:rsidR="00334D55" w:rsidRPr="008A58FF" w:rsidRDefault="00334D55" w:rsidP="00D57812">
            <w:pPr>
              <w:pStyle w:val="a3"/>
              <w:jc w:val="both"/>
              <w:rPr>
                <w:sz w:val="22"/>
                <w:szCs w:val="22"/>
                <w:lang w:val="en-US"/>
              </w:rPr>
            </w:pPr>
            <w:r>
              <w:rPr>
                <w:sz w:val="22"/>
                <w:szCs w:val="22"/>
                <w:lang w:val="en-US"/>
              </w:rPr>
              <w:t>Extension courses with certification</w:t>
            </w:r>
          </w:p>
        </w:tc>
        <w:tc>
          <w:tcPr>
            <w:tcW w:w="851" w:type="dxa"/>
            <w:vAlign w:val="center"/>
          </w:tcPr>
          <w:p w:rsidR="00334D55" w:rsidRPr="00DD3AC2" w:rsidRDefault="00334D55" w:rsidP="00D57812">
            <w:pPr>
              <w:pStyle w:val="a3"/>
              <w:rPr>
                <w:sz w:val="22"/>
                <w:szCs w:val="22"/>
              </w:rPr>
            </w:pPr>
            <w:r w:rsidRPr="00DD3AC2">
              <w:rPr>
                <w:sz w:val="22"/>
                <w:szCs w:val="22"/>
              </w:rPr>
              <w:t>99</w:t>
            </w:r>
          </w:p>
        </w:tc>
        <w:tc>
          <w:tcPr>
            <w:tcW w:w="850" w:type="dxa"/>
            <w:vAlign w:val="center"/>
          </w:tcPr>
          <w:p w:rsidR="00334D55" w:rsidRPr="00DD3AC2" w:rsidRDefault="00334D55" w:rsidP="00D57812">
            <w:pPr>
              <w:pStyle w:val="a3"/>
              <w:rPr>
                <w:sz w:val="22"/>
                <w:szCs w:val="22"/>
              </w:rPr>
            </w:pPr>
            <w:r w:rsidRPr="00DD3AC2">
              <w:rPr>
                <w:sz w:val="22"/>
                <w:szCs w:val="22"/>
              </w:rPr>
              <w:t>1775</w:t>
            </w:r>
          </w:p>
        </w:tc>
        <w:tc>
          <w:tcPr>
            <w:tcW w:w="851" w:type="dxa"/>
            <w:vAlign w:val="center"/>
          </w:tcPr>
          <w:p w:rsidR="00334D55" w:rsidRPr="00DD3AC2" w:rsidRDefault="00334D55" w:rsidP="00D57812">
            <w:pPr>
              <w:pStyle w:val="a3"/>
              <w:rPr>
                <w:sz w:val="22"/>
                <w:szCs w:val="22"/>
              </w:rPr>
            </w:pPr>
            <w:r w:rsidRPr="00DD3AC2">
              <w:rPr>
                <w:sz w:val="22"/>
                <w:szCs w:val="22"/>
              </w:rPr>
              <w:t>3405</w:t>
            </w:r>
          </w:p>
        </w:tc>
        <w:tc>
          <w:tcPr>
            <w:tcW w:w="992" w:type="dxa"/>
            <w:vAlign w:val="center"/>
          </w:tcPr>
          <w:p w:rsidR="00334D55" w:rsidRPr="00DD3AC2" w:rsidRDefault="00334D55" w:rsidP="00D57812">
            <w:pPr>
              <w:pStyle w:val="a3"/>
              <w:rPr>
                <w:sz w:val="22"/>
                <w:szCs w:val="22"/>
              </w:rPr>
            </w:pPr>
            <w:r w:rsidRPr="00DD3AC2">
              <w:rPr>
                <w:sz w:val="22"/>
                <w:szCs w:val="22"/>
              </w:rPr>
              <w:t>2751</w:t>
            </w:r>
          </w:p>
        </w:tc>
        <w:tc>
          <w:tcPr>
            <w:tcW w:w="850" w:type="dxa"/>
            <w:tcBorders>
              <w:right w:val="single" w:sz="4" w:space="0" w:color="auto"/>
            </w:tcBorders>
            <w:vAlign w:val="center"/>
          </w:tcPr>
          <w:p w:rsidR="00334D55" w:rsidRPr="00DD3AC2" w:rsidRDefault="00334D55" w:rsidP="00D57812">
            <w:pPr>
              <w:pStyle w:val="a3"/>
              <w:rPr>
                <w:sz w:val="22"/>
                <w:szCs w:val="22"/>
              </w:rPr>
            </w:pPr>
            <w:r w:rsidRPr="00DD3AC2">
              <w:rPr>
                <w:sz w:val="22"/>
                <w:szCs w:val="22"/>
              </w:rPr>
              <w:t>3180</w:t>
            </w:r>
          </w:p>
        </w:tc>
        <w:tc>
          <w:tcPr>
            <w:tcW w:w="993" w:type="dxa"/>
            <w:tcBorders>
              <w:left w:val="single" w:sz="4" w:space="0" w:color="auto"/>
            </w:tcBorders>
            <w:vAlign w:val="center"/>
          </w:tcPr>
          <w:p w:rsidR="00334D55" w:rsidRPr="00DD3AC2" w:rsidRDefault="00334D55" w:rsidP="00D57812">
            <w:pPr>
              <w:pStyle w:val="a3"/>
              <w:rPr>
                <w:sz w:val="22"/>
                <w:szCs w:val="22"/>
              </w:rPr>
            </w:pPr>
            <w:r w:rsidRPr="00DD3AC2">
              <w:rPr>
                <w:sz w:val="22"/>
                <w:szCs w:val="22"/>
              </w:rPr>
              <w:t>310</w:t>
            </w:r>
            <w:r>
              <w:rPr>
                <w:sz w:val="22"/>
                <w:szCs w:val="22"/>
              </w:rPr>
              <w:t>3</w:t>
            </w:r>
          </w:p>
        </w:tc>
        <w:tc>
          <w:tcPr>
            <w:tcW w:w="983" w:type="dxa"/>
            <w:vAlign w:val="center"/>
          </w:tcPr>
          <w:p w:rsidR="00334D55" w:rsidRPr="00DD3AC2" w:rsidRDefault="00334D55" w:rsidP="00D57812">
            <w:pPr>
              <w:pStyle w:val="a3"/>
              <w:rPr>
                <w:sz w:val="22"/>
                <w:szCs w:val="22"/>
              </w:rPr>
            </w:pPr>
            <w:r w:rsidRPr="00DD3AC2">
              <w:rPr>
                <w:sz w:val="22"/>
                <w:szCs w:val="22"/>
              </w:rPr>
              <w:t>14 31</w:t>
            </w:r>
            <w:r>
              <w:rPr>
                <w:sz w:val="22"/>
                <w:szCs w:val="22"/>
              </w:rPr>
              <w:t>3</w:t>
            </w:r>
          </w:p>
        </w:tc>
      </w:tr>
      <w:tr w:rsidR="00334D55" w:rsidRPr="00DD3AC2" w:rsidTr="00D57812">
        <w:trPr>
          <w:jc w:val="center"/>
        </w:trPr>
        <w:tc>
          <w:tcPr>
            <w:tcW w:w="410" w:type="dxa"/>
          </w:tcPr>
          <w:p w:rsidR="00334D55" w:rsidRPr="00DD3AC2" w:rsidRDefault="00334D55" w:rsidP="00D57812">
            <w:pPr>
              <w:pStyle w:val="a3"/>
              <w:jc w:val="both"/>
              <w:rPr>
                <w:sz w:val="22"/>
                <w:szCs w:val="22"/>
              </w:rPr>
            </w:pPr>
            <w:r>
              <w:rPr>
                <w:sz w:val="22"/>
                <w:szCs w:val="22"/>
              </w:rPr>
              <w:t>2</w:t>
            </w:r>
          </w:p>
        </w:tc>
        <w:tc>
          <w:tcPr>
            <w:tcW w:w="2560" w:type="dxa"/>
          </w:tcPr>
          <w:p w:rsidR="00334D55" w:rsidRPr="008A58FF" w:rsidRDefault="00334D55" w:rsidP="00D57812">
            <w:pPr>
              <w:pStyle w:val="a3"/>
              <w:jc w:val="both"/>
              <w:rPr>
                <w:sz w:val="22"/>
                <w:szCs w:val="22"/>
                <w:lang w:val="en-US"/>
              </w:rPr>
            </w:pPr>
            <w:r>
              <w:rPr>
                <w:sz w:val="22"/>
                <w:szCs w:val="22"/>
                <w:lang w:val="en-US"/>
              </w:rPr>
              <w:t>Professional retraining with diploma</w:t>
            </w:r>
          </w:p>
        </w:tc>
        <w:tc>
          <w:tcPr>
            <w:tcW w:w="851" w:type="dxa"/>
            <w:vAlign w:val="center"/>
          </w:tcPr>
          <w:p w:rsidR="00334D55" w:rsidRPr="00DD3AC2" w:rsidRDefault="00334D55" w:rsidP="00D57812">
            <w:pPr>
              <w:pStyle w:val="a3"/>
              <w:rPr>
                <w:sz w:val="22"/>
                <w:szCs w:val="22"/>
              </w:rPr>
            </w:pPr>
            <w:r w:rsidRPr="00DD3AC2">
              <w:rPr>
                <w:sz w:val="22"/>
                <w:szCs w:val="22"/>
              </w:rPr>
              <w:t>0</w:t>
            </w:r>
          </w:p>
        </w:tc>
        <w:tc>
          <w:tcPr>
            <w:tcW w:w="850" w:type="dxa"/>
            <w:vAlign w:val="center"/>
          </w:tcPr>
          <w:p w:rsidR="00334D55" w:rsidRPr="00DD3AC2" w:rsidRDefault="00334D55" w:rsidP="00D57812">
            <w:pPr>
              <w:pStyle w:val="a3"/>
              <w:rPr>
                <w:sz w:val="22"/>
                <w:szCs w:val="22"/>
              </w:rPr>
            </w:pPr>
            <w:r w:rsidRPr="00DD3AC2">
              <w:rPr>
                <w:sz w:val="22"/>
                <w:szCs w:val="22"/>
              </w:rPr>
              <w:t>78</w:t>
            </w:r>
          </w:p>
        </w:tc>
        <w:tc>
          <w:tcPr>
            <w:tcW w:w="851" w:type="dxa"/>
            <w:vAlign w:val="center"/>
          </w:tcPr>
          <w:p w:rsidR="00334D55" w:rsidRPr="00DD3AC2" w:rsidRDefault="00334D55" w:rsidP="00D57812">
            <w:pPr>
              <w:pStyle w:val="a3"/>
              <w:rPr>
                <w:sz w:val="22"/>
                <w:szCs w:val="22"/>
              </w:rPr>
            </w:pPr>
            <w:r w:rsidRPr="00DD3AC2">
              <w:rPr>
                <w:sz w:val="22"/>
                <w:szCs w:val="22"/>
              </w:rPr>
              <w:t>232</w:t>
            </w:r>
          </w:p>
        </w:tc>
        <w:tc>
          <w:tcPr>
            <w:tcW w:w="992" w:type="dxa"/>
            <w:vAlign w:val="center"/>
          </w:tcPr>
          <w:p w:rsidR="00334D55" w:rsidRPr="00DD3AC2" w:rsidRDefault="00334D55" w:rsidP="00D57812">
            <w:pPr>
              <w:pStyle w:val="a3"/>
              <w:rPr>
                <w:sz w:val="22"/>
                <w:szCs w:val="22"/>
              </w:rPr>
            </w:pPr>
            <w:r w:rsidRPr="00DD3AC2">
              <w:rPr>
                <w:sz w:val="22"/>
                <w:szCs w:val="22"/>
              </w:rPr>
              <w:t>387</w:t>
            </w:r>
          </w:p>
        </w:tc>
        <w:tc>
          <w:tcPr>
            <w:tcW w:w="850" w:type="dxa"/>
            <w:tcBorders>
              <w:right w:val="single" w:sz="4" w:space="0" w:color="auto"/>
            </w:tcBorders>
            <w:vAlign w:val="center"/>
          </w:tcPr>
          <w:p w:rsidR="00334D55" w:rsidRPr="00DD3AC2" w:rsidRDefault="00334D55" w:rsidP="00D57812">
            <w:pPr>
              <w:pStyle w:val="a3"/>
              <w:rPr>
                <w:sz w:val="22"/>
                <w:szCs w:val="22"/>
              </w:rPr>
            </w:pPr>
            <w:r w:rsidRPr="00DD3AC2">
              <w:rPr>
                <w:sz w:val="22"/>
                <w:szCs w:val="22"/>
              </w:rPr>
              <w:t>572</w:t>
            </w:r>
          </w:p>
        </w:tc>
        <w:tc>
          <w:tcPr>
            <w:tcW w:w="993" w:type="dxa"/>
            <w:tcBorders>
              <w:left w:val="single" w:sz="4" w:space="0" w:color="auto"/>
            </w:tcBorders>
            <w:vAlign w:val="center"/>
          </w:tcPr>
          <w:p w:rsidR="00334D55" w:rsidRPr="00DD3AC2" w:rsidRDefault="00334D55" w:rsidP="00D57812">
            <w:pPr>
              <w:pStyle w:val="a3"/>
              <w:rPr>
                <w:sz w:val="22"/>
                <w:szCs w:val="22"/>
              </w:rPr>
            </w:pPr>
            <w:r w:rsidRPr="00DD3AC2">
              <w:rPr>
                <w:sz w:val="22"/>
                <w:szCs w:val="22"/>
              </w:rPr>
              <w:t>829</w:t>
            </w:r>
          </w:p>
        </w:tc>
        <w:tc>
          <w:tcPr>
            <w:tcW w:w="983" w:type="dxa"/>
            <w:vAlign w:val="center"/>
          </w:tcPr>
          <w:p w:rsidR="00334D55" w:rsidRPr="00DD3AC2" w:rsidRDefault="00334D55" w:rsidP="00D57812">
            <w:pPr>
              <w:pStyle w:val="a3"/>
              <w:rPr>
                <w:sz w:val="22"/>
                <w:szCs w:val="22"/>
              </w:rPr>
            </w:pPr>
            <w:r w:rsidRPr="00DD3AC2">
              <w:rPr>
                <w:sz w:val="22"/>
                <w:szCs w:val="22"/>
              </w:rPr>
              <w:t>2098</w:t>
            </w:r>
          </w:p>
        </w:tc>
      </w:tr>
      <w:tr w:rsidR="00334D55" w:rsidRPr="00DD3AC2" w:rsidTr="00D57812">
        <w:trPr>
          <w:jc w:val="center"/>
        </w:trPr>
        <w:tc>
          <w:tcPr>
            <w:tcW w:w="410" w:type="dxa"/>
          </w:tcPr>
          <w:p w:rsidR="00334D55" w:rsidRPr="00DD3AC2" w:rsidRDefault="00334D55" w:rsidP="00D57812">
            <w:pPr>
              <w:pStyle w:val="a3"/>
              <w:jc w:val="both"/>
              <w:rPr>
                <w:sz w:val="22"/>
                <w:szCs w:val="22"/>
              </w:rPr>
            </w:pPr>
          </w:p>
        </w:tc>
        <w:tc>
          <w:tcPr>
            <w:tcW w:w="2560" w:type="dxa"/>
          </w:tcPr>
          <w:p w:rsidR="00334D55" w:rsidRPr="008A58FF" w:rsidRDefault="00334D55" w:rsidP="00D57812">
            <w:pPr>
              <w:pStyle w:val="a3"/>
              <w:jc w:val="both"/>
              <w:rPr>
                <w:b/>
                <w:sz w:val="22"/>
                <w:szCs w:val="22"/>
                <w:lang w:val="en-US"/>
              </w:rPr>
            </w:pPr>
            <w:r>
              <w:rPr>
                <w:b/>
                <w:sz w:val="22"/>
                <w:szCs w:val="22"/>
                <w:lang w:val="en-US"/>
              </w:rPr>
              <w:t>Total during the year</w:t>
            </w:r>
          </w:p>
        </w:tc>
        <w:tc>
          <w:tcPr>
            <w:tcW w:w="851" w:type="dxa"/>
            <w:vAlign w:val="center"/>
          </w:tcPr>
          <w:p w:rsidR="00334D55" w:rsidRPr="00DD3AC2" w:rsidRDefault="00334D55" w:rsidP="00D57812">
            <w:pPr>
              <w:pStyle w:val="a3"/>
              <w:rPr>
                <w:b/>
                <w:sz w:val="22"/>
                <w:szCs w:val="22"/>
              </w:rPr>
            </w:pPr>
            <w:r w:rsidRPr="00DD3AC2">
              <w:rPr>
                <w:b/>
                <w:sz w:val="22"/>
                <w:szCs w:val="22"/>
              </w:rPr>
              <w:t>99</w:t>
            </w:r>
          </w:p>
        </w:tc>
        <w:tc>
          <w:tcPr>
            <w:tcW w:w="850" w:type="dxa"/>
            <w:vAlign w:val="center"/>
          </w:tcPr>
          <w:p w:rsidR="00334D55" w:rsidRPr="00DD3AC2" w:rsidRDefault="00334D55" w:rsidP="00D57812">
            <w:pPr>
              <w:pStyle w:val="a3"/>
              <w:rPr>
                <w:b/>
                <w:sz w:val="22"/>
                <w:szCs w:val="22"/>
              </w:rPr>
            </w:pPr>
            <w:r>
              <w:rPr>
                <w:b/>
                <w:sz w:val="22"/>
                <w:szCs w:val="22"/>
              </w:rPr>
              <w:t>1853</w:t>
            </w:r>
          </w:p>
        </w:tc>
        <w:tc>
          <w:tcPr>
            <w:tcW w:w="851" w:type="dxa"/>
            <w:vAlign w:val="center"/>
          </w:tcPr>
          <w:p w:rsidR="00334D55" w:rsidRPr="00DD3AC2" w:rsidRDefault="00334D55" w:rsidP="00D57812">
            <w:pPr>
              <w:pStyle w:val="a3"/>
              <w:rPr>
                <w:b/>
                <w:sz w:val="22"/>
                <w:szCs w:val="22"/>
              </w:rPr>
            </w:pPr>
            <w:r>
              <w:rPr>
                <w:b/>
                <w:sz w:val="22"/>
                <w:szCs w:val="22"/>
              </w:rPr>
              <w:t>3637</w:t>
            </w:r>
          </w:p>
        </w:tc>
        <w:tc>
          <w:tcPr>
            <w:tcW w:w="992" w:type="dxa"/>
            <w:vAlign w:val="center"/>
          </w:tcPr>
          <w:p w:rsidR="00334D55" w:rsidRPr="00DD3AC2" w:rsidRDefault="00334D55" w:rsidP="00D57812">
            <w:pPr>
              <w:pStyle w:val="a3"/>
              <w:rPr>
                <w:b/>
                <w:sz w:val="22"/>
                <w:szCs w:val="22"/>
              </w:rPr>
            </w:pPr>
            <w:r>
              <w:rPr>
                <w:b/>
                <w:sz w:val="22"/>
                <w:szCs w:val="22"/>
              </w:rPr>
              <w:t>3138</w:t>
            </w:r>
          </w:p>
        </w:tc>
        <w:tc>
          <w:tcPr>
            <w:tcW w:w="850" w:type="dxa"/>
            <w:tcBorders>
              <w:right w:val="single" w:sz="4" w:space="0" w:color="auto"/>
            </w:tcBorders>
            <w:vAlign w:val="center"/>
          </w:tcPr>
          <w:p w:rsidR="00334D55" w:rsidRPr="00DD3AC2" w:rsidRDefault="00334D55" w:rsidP="00D57812">
            <w:pPr>
              <w:pStyle w:val="a3"/>
              <w:rPr>
                <w:b/>
                <w:sz w:val="22"/>
                <w:szCs w:val="22"/>
              </w:rPr>
            </w:pPr>
            <w:r>
              <w:rPr>
                <w:b/>
                <w:sz w:val="22"/>
                <w:szCs w:val="22"/>
              </w:rPr>
              <w:t>3752</w:t>
            </w:r>
          </w:p>
        </w:tc>
        <w:tc>
          <w:tcPr>
            <w:tcW w:w="993" w:type="dxa"/>
            <w:tcBorders>
              <w:left w:val="single" w:sz="4" w:space="0" w:color="auto"/>
            </w:tcBorders>
            <w:vAlign w:val="center"/>
          </w:tcPr>
          <w:p w:rsidR="00334D55" w:rsidRPr="00DD3AC2" w:rsidRDefault="00334D55" w:rsidP="00D57812">
            <w:pPr>
              <w:pStyle w:val="a3"/>
              <w:rPr>
                <w:b/>
                <w:sz w:val="22"/>
                <w:szCs w:val="22"/>
              </w:rPr>
            </w:pPr>
            <w:r>
              <w:rPr>
                <w:b/>
                <w:sz w:val="22"/>
                <w:szCs w:val="22"/>
              </w:rPr>
              <w:t>3932</w:t>
            </w:r>
          </w:p>
        </w:tc>
        <w:tc>
          <w:tcPr>
            <w:tcW w:w="983" w:type="dxa"/>
            <w:vAlign w:val="center"/>
          </w:tcPr>
          <w:p w:rsidR="00334D55" w:rsidRPr="00DD3AC2" w:rsidRDefault="00334D55" w:rsidP="00D57812">
            <w:pPr>
              <w:pStyle w:val="a3"/>
              <w:rPr>
                <w:b/>
                <w:sz w:val="22"/>
                <w:szCs w:val="22"/>
              </w:rPr>
            </w:pPr>
            <w:r>
              <w:rPr>
                <w:b/>
                <w:sz w:val="22"/>
                <w:szCs w:val="22"/>
              </w:rPr>
              <w:t>16 411</w:t>
            </w:r>
          </w:p>
        </w:tc>
      </w:tr>
    </w:tbl>
    <w:p w:rsidR="00334D55" w:rsidRPr="00CF5D5C" w:rsidRDefault="00334D55" w:rsidP="00334D55">
      <w:pPr>
        <w:spacing w:line="240" w:lineRule="auto"/>
        <w:jc w:val="center"/>
        <w:rPr>
          <w:rFonts w:ascii="Times New Roman" w:hAnsi="Times New Roman" w:cs="Times New Roman"/>
          <w:sz w:val="24"/>
          <w:szCs w:val="24"/>
          <w:lang w:val="en-US"/>
        </w:rPr>
      </w:pPr>
    </w:p>
    <w:p w:rsidR="00334D55" w:rsidRDefault="00334D55" w:rsidP="00334D5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Extension courses </w:t>
      </w:r>
      <w:r w:rsidRPr="00DB041A">
        <w:rPr>
          <w:rFonts w:ascii="Times New Roman" w:hAnsi="Times New Roman" w:cs="Times New Roman"/>
          <w:sz w:val="24"/>
          <w:szCs w:val="24"/>
          <w:lang w:val="en-US"/>
        </w:rPr>
        <w:t xml:space="preserve">or retraining of specialists out of work </w:t>
      </w:r>
      <w:proofErr w:type="gramStart"/>
      <w:r w:rsidRPr="00DB041A">
        <w:rPr>
          <w:rFonts w:ascii="Times New Roman" w:hAnsi="Times New Roman" w:cs="Times New Roman"/>
          <w:sz w:val="24"/>
          <w:szCs w:val="24"/>
          <w:lang w:val="en-US"/>
        </w:rPr>
        <w:t>should be organized</w:t>
      </w:r>
      <w:proofErr w:type="gramEnd"/>
      <w:r w:rsidRPr="00DB041A">
        <w:rPr>
          <w:rFonts w:ascii="Times New Roman" w:hAnsi="Times New Roman" w:cs="Times New Roman"/>
          <w:sz w:val="24"/>
          <w:szCs w:val="24"/>
          <w:lang w:val="en-US"/>
        </w:rPr>
        <w:t xml:space="preserve"> so that the productivity and quality of work overlaps all costs in the future. In this connection, </w:t>
      </w:r>
      <w:proofErr w:type="gramStart"/>
      <w:r w:rsidRPr="00DB041A">
        <w:rPr>
          <w:rFonts w:ascii="Times New Roman" w:hAnsi="Times New Roman" w:cs="Times New Roman"/>
          <w:sz w:val="24"/>
          <w:szCs w:val="24"/>
          <w:lang w:val="en-US"/>
        </w:rPr>
        <w:t>internally  -</w:t>
      </w:r>
      <w:proofErr w:type="gramEnd"/>
      <w:r w:rsidRPr="00DB041A">
        <w:rPr>
          <w:rFonts w:ascii="Times New Roman" w:hAnsi="Times New Roman" w:cs="Times New Roman"/>
          <w:sz w:val="24"/>
          <w:szCs w:val="24"/>
          <w:lang w:val="en-US"/>
        </w:rPr>
        <w:t xml:space="preserve"> absentia courses using e-learning through is used for remote technologies in conduc</w:t>
      </w:r>
      <w:r>
        <w:rPr>
          <w:rFonts w:ascii="Times New Roman" w:hAnsi="Times New Roman" w:cs="Times New Roman"/>
          <w:sz w:val="24"/>
          <w:szCs w:val="24"/>
          <w:lang w:val="en-US"/>
        </w:rPr>
        <w:t>ting retraining courses (Figure 2</w:t>
      </w:r>
      <w:r w:rsidRPr="00DB041A">
        <w:rPr>
          <w:rFonts w:ascii="Times New Roman" w:hAnsi="Times New Roman" w:cs="Times New Roman"/>
          <w:sz w:val="24"/>
          <w:szCs w:val="24"/>
          <w:lang w:val="en-US"/>
        </w:rPr>
        <w:t>).</w:t>
      </w:r>
    </w:p>
    <w:p w:rsidR="00334D55" w:rsidRDefault="00334D55" w:rsidP="00334D55">
      <w:pPr>
        <w:spacing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Figure 2</w:t>
      </w:r>
    </w:p>
    <w:p w:rsidR="00334D55" w:rsidRDefault="00334D55" w:rsidP="00334D55">
      <w:pPr>
        <w:spacing w:line="240" w:lineRule="auto"/>
        <w:rPr>
          <w:rFonts w:ascii="Times New Roman" w:hAnsi="Times New Roman" w:cs="Times New Roman"/>
          <w:sz w:val="24"/>
          <w:szCs w:val="24"/>
          <w:lang w:val="en-US"/>
        </w:rPr>
      </w:pPr>
      <w:r w:rsidRPr="004C34F5">
        <w:rPr>
          <w:rFonts w:ascii="Times New Roman" w:hAnsi="Times New Roman" w:cs="Times New Roman"/>
          <w:noProof/>
          <w:sz w:val="24"/>
          <w:szCs w:val="24"/>
        </w:rPr>
        <w:drawing>
          <wp:inline distT="0" distB="0" distL="0" distR="0" wp14:anchorId="631512FC" wp14:editId="3A8642D0">
            <wp:extent cx="5700619" cy="2286000"/>
            <wp:effectExtent l="19050" t="0" r="14381"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34D55" w:rsidRDefault="00334D55" w:rsidP="00334D55">
      <w:pPr>
        <w:spacing w:line="240" w:lineRule="auto"/>
        <w:rPr>
          <w:rFonts w:ascii="Times New Roman" w:hAnsi="Times New Roman" w:cs="Times New Roman"/>
          <w:sz w:val="24"/>
          <w:szCs w:val="24"/>
          <w:lang w:val="en-US"/>
        </w:rPr>
      </w:pPr>
    </w:p>
    <w:p w:rsidR="00334D55" w:rsidRPr="008040A0" w:rsidRDefault="00334D55" w:rsidP="00334D55">
      <w:pPr>
        <w:spacing w:line="240" w:lineRule="auto"/>
        <w:rPr>
          <w:rFonts w:ascii="Times New Roman" w:hAnsi="Times New Roman" w:cs="Times New Roman"/>
          <w:sz w:val="24"/>
          <w:szCs w:val="24"/>
          <w:lang w:val="en-US"/>
        </w:rPr>
      </w:pPr>
      <w:r w:rsidRPr="008040A0">
        <w:rPr>
          <w:rFonts w:ascii="Times New Roman" w:hAnsi="Times New Roman" w:cs="Times New Roman"/>
          <w:sz w:val="24"/>
          <w:szCs w:val="24"/>
          <w:lang w:val="en-US"/>
        </w:rPr>
        <w:t>Focusing in a single unit through tight integration and interaction with st</w:t>
      </w:r>
      <w:r>
        <w:rPr>
          <w:rFonts w:ascii="Times New Roman" w:hAnsi="Times New Roman" w:cs="Times New Roman"/>
          <w:sz w:val="24"/>
          <w:szCs w:val="24"/>
          <w:lang w:val="en-US"/>
        </w:rPr>
        <w:t xml:space="preserve">ructural divisions </w:t>
      </w:r>
      <w:proofErr w:type="gramStart"/>
      <w:r>
        <w:rPr>
          <w:rFonts w:ascii="Times New Roman" w:hAnsi="Times New Roman" w:cs="Times New Roman"/>
          <w:sz w:val="24"/>
          <w:szCs w:val="24"/>
          <w:lang w:val="en-US"/>
        </w:rPr>
        <w:t xml:space="preserve">NEFU </w:t>
      </w:r>
      <w:r w:rsidRPr="008040A0">
        <w:rPr>
          <w:rFonts w:ascii="Times New Roman" w:hAnsi="Times New Roman" w:cs="Times New Roman"/>
          <w:sz w:val="24"/>
          <w:szCs w:val="24"/>
          <w:lang w:val="en-US"/>
        </w:rPr>
        <w:t xml:space="preserve"> named</w:t>
      </w:r>
      <w:proofErr w:type="gramEnd"/>
      <w:r w:rsidRPr="008040A0">
        <w:rPr>
          <w:rFonts w:ascii="Times New Roman" w:hAnsi="Times New Roman" w:cs="Times New Roman"/>
          <w:sz w:val="24"/>
          <w:szCs w:val="24"/>
          <w:lang w:val="en-US"/>
        </w:rPr>
        <w:t xml:space="preserve"> after M. </w:t>
      </w:r>
      <w:proofErr w:type="spellStart"/>
      <w:r w:rsidRPr="008040A0">
        <w:rPr>
          <w:rFonts w:ascii="Times New Roman" w:hAnsi="Times New Roman" w:cs="Times New Roman"/>
          <w:sz w:val="24"/>
          <w:szCs w:val="24"/>
          <w:lang w:val="en-US"/>
        </w:rPr>
        <w:t>Ammosov</w:t>
      </w:r>
      <w:proofErr w:type="spellEnd"/>
      <w:r w:rsidRPr="008040A0">
        <w:rPr>
          <w:rFonts w:ascii="Times New Roman" w:hAnsi="Times New Roman" w:cs="Times New Roman"/>
          <w:sz w:val="24"/>
          <w:szCs w:val="24"/>
          <w:lang w:val="en-US"/>
        </w:rPr>
        <w:t xml:space="preserve"> contributes to the creation of a single unique system providing efficient and quality carrying out maintenance of additional vocational training.</w:t>
      </w:r>
    </w:p>
    <w:p w:rsidR="00334D55" w:rsidRDefault="00334D55" w:rsidP="00334D55">
      <w:pPr>
        <w:spacing w:line="240" w:lineRule="auto"/>
        <w:rPr>
          <w:rFonts w:ascii="Times New Roman" w:hAnsi="Times New Roman" w:cs="Times New Roman"/>
          <w:sz w:val="24"/>
          <w:szCs w:val="24"/>
          <w:lang w:val="en-US"/>
        </w:rPr>
      </w:pPr>
      <w:r w:rsidRPr="008040A0">
        <w:rPr>
          <w:rFonts w:ascii="Times New Roman" w:hAnsi="Times New Roman" w:cs="Times New Roman"/>
          <w:sz w:val="24"/>
          <w:szCs w:val="24"/>
          <w:lang w:val="en-US"/>
        </w:rPr>
        <w:t>Quality content is more professional programs, as well as the needs to obtain relevant knowledge depends on the lecturers involved in the regional, f</w:t>
      </w:r>
      <w:r>
        <w:rPr>
          <w:rFonts w:ascii="Times New Roman" w:hAnsi="Times New Roman" w:cs="Times New Roman"/>
          <w:sz w:val="24"/>
          <w:szCs w:val="24"/>
          <w:lang w:val="en-US"/>
        </w:rPr>
        <w:t>ederal and foreign levels (figures 3</w:t>
      </w:r>
      <w:proofErr w:type="gramStart"/>
      <w:r>
        <w:rPr>
          <w:rFonts w:ascii="Times New Roman" w:hAnsi="Times New Roman" w:cs="Times New Roman"/>
          <w:sz w:val="24"/>
          <w:szCs w:val="24"/>
          <w:lang w:val="en-US"/>
        </w:rPr>
        <w:t>,4</w:t>
      </w:r>
      <w:proofErr w:type="gramEnd"/>
      <w:r w:rsidRPr="008040A0">
        <w:rPr>
          <w:rFonts w:ascii="Times New Roman" w:hAnsi="Times New Roman" w:cs="Times New Roman"/>
          <w:sz w:val="24"/>
          <w:szCs w:val="24"/>
          <w:lang w:val="en-US"/>
        </w:rPr>
        <w:t>). If at the federal level in 2010 attracted only 2 lecturers, in 2011- 31 persons, 2012 - 45 persons, 2013 - 26 persons, 2014 - 16 persons, 2015 -17 persons.</w:t>
      </w:r>
    </w:p>
    <w:p w:rsidR="00334D55" w:rsidRDefault="00334D55" w:rsidP="00334D55">
      <w:pPr>
        <w:spacing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Figure 3</w:t>
      </w:r>
    </w:p>
    <w:p w:rsidR="00334D55" w:rsidRDefault="00334D55" w:rsidP="00334D55">
      <w:pPr>
        <w:spacing w:line="240" w:lineRule="auto"/>
        <w:jc w:val="center"/>
        <w:rPr>
          <w:rFonts w:ascii="Times New Roman" w:hAnsi="Times New Roman" w:cs="Times New Roman"/>
          <w:sz w:val="24"/>
          <w:szCs w:val="24"/>
          <w:lang w:val="en-US"/>
        </w:rPr>
      </w:pPr>
      <w:r w:rsidRPr="0093127D">
        <w:rPr>
          <w:rFonts w:ascii="Times New Roman" w:hAnsi="Times New Roman" w:cs="Times New Roman"/>
          <w:sz w:val="24"/>
          <w:szCs w:val="24"/>
          <w:lang w:val="en-US"/>
        </w:rPr>
        <w:t>Attracted by the lecturers of the Russian Federation</w:t>
      </w:r>
    </w:p>
    <w:p w:rsidR="00334D55" w:rsidRDefault="00334D55" w:rsidP="00334D55">
      <w:pPr>
        <w:spacing w:line="240" w:lineRule="auto"/>
        <w:jc w:val="right"/>
        <w:rPr>
          <w:rFonts w:ascii="Times New Roman" w:hAnsi="Times New Roman" w:cs="Times New Roman"/>
          <w:sz w:val="24"/>
          <w:szCs w:val="24"/>
          <w:lang w:val="en-US"/>
        </w:rPr>
      </w:pPr>
      <w:r w:rsidRPr="0093127D">
        <w:rPr>
          <w:rFonts w:ascii="Times New Roman" w:hAnsi="Times New Roman" w:cs="Times New Roman"/>
          <w:noProof/>
          <w:sz w:val="24"/>
          <w:szCs w:val="24"/>
        </w:rPr>
        <w:lastRenderedPageBreak/>
        <w:drawing>
          <wp:inline distT="0" distB="0" distL="0" distR="0" wp14:anchorId="4BBDEEC4" wp14:editId="507DC0CD">
            <wp:extent cx="5475239" cy="1532586"/>
            <wp:effectExtent l="19050" t="0" r="11161"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34D55" w:rsidRDefault="00334D55" w:rsidP="00334D55">
      <w:pPr>
        <w:jc w:val="right"/>
        <w:rPr>
          <w:rFonts w:ascii="Times New Roman" w:hAnsi="Times New Roman" w:cs="Times New Roman"/>
          <w:sz w:val="24"/>
          <w:szCs w:val="24"/>
          <w:lang w:val="en-US"/>
        </w:rPr>
      </w:pPr>
    </w:p>
    <w:p w:rsidR="00334D55" w:rsidRDefault="00334D55" w:rsidP="00334D55">
      <w:pPr>
        <w:jc w:val="right"/>
        <w:rPr>
          <w:rFonts w:ascii="Times New Roman" w:hAnsi="Times New Roman" w:cs="Times New Roman"/>
          <w:sz w:val="24"/>
          <w:szCs w:val="24"/>
          <w:lang w:val="en-US"/>
        </w:rPr>
      </w:pPr>
      <w:r>
        <w:rPr>
          <w:rFonts w:ascii="Times New Roman" w:hAnsi="Times New Roman" w:cs="Times New Roman"/>
          <w:sz w:val="24"/>
          <w:szCs w:val="24"/>
          <w:lang w:val="en-US"/>
        </w:rPr>
        <w:t>Figure 4</w:t>
      </w:r>
    </w:p>
    <w:p w:rsidR="00334D55" w:rsidRDefault="00334D55" w:rsidP="00334D55">
      <w:pPr>
        <w:tabs>
          <w:tab w:val="left" w:pos="6705"/>
        </w:tabs>
        <w:jc w:val="center"/>
        <w:rPr>
          <w:rFonts w:ascii="Times New Roman" w:hAnsi="Times New Roman" w:cs="Times New Roman"/>
          <w:sz w:val="24"/>
          <w:szCs w:val="24"/>
          <w:lang w:val="en-US"/>
        </w:rPr>
      </w:pPr>
      <w:r w:rsidRPr="0093127D">
        <w:rPr>
          <w:rFonts w:ascii="Times New Roman" w:hAnsi="Times New Roman" w:cs="Times New Roman"/>
          <w:sz w:val="24"/>
          <w:szCs w:val="24"/>
          <w:lang w:val="en-US"/>
        </w:rPr>
        <w:t>Foreign lecturers in 2011-1 person, 2012 - 3 persons, 2013 - 7 persons, 2014 - 4 persons, 2015 - 5 persons.</w:t>
      </w:r>
    </w:p>
    <w:p w:rsidR="00334D55" w:rsidRDefault="00334D55" w:rsidP="00334D55">
      <w:pPr>
        <w:tabs>
          <w:tab w:val="left" w:pos="6705"/>
        </w:tabs>
        <w:jc w:val="center"/>
        <w:rPr>
          <w:rFonts w:ascii="Times New Roman" w:hAnsi="Times New Roman" w:cs="Times New Roman"/>
          <w:sz w:val="24"/>
          <w:szCs w:val="24"/>
          <w:lang w:val="en-US"/>
        </w:rPr>
      </w:pPr>
      <w:r>
        <w:rPr>
          <w:rFonts w:ascii="Times New Roman" w:hAnsi="Times New Roman" w:cs="Times New Roman"/>
          <w:noProof/>
          <w:sz w:val="24"/>
          <w:szCs w:val="24"/>
        </w:rPr>
        <w:drawing>
          <wp:anchor distT="0" distB="0" distL="114300" distR="114300" simplePos="0" relativeHeight="251659264" behindDoc="0" locked="0" layoutInCell="1" allowOverlap="1" wp14:anchorId="035A4C06" wp14:editId="3A232399">
            <wp:simplePos x="0" y="0"/>
            <wp:positionH relativeFrom="column">
              <wp:posOffset>347345</wp:posOffset>
            </wp:positionH>
            <wp:positionV relativeFrom="paragraph">
              <wp:posOffset>33655</wp:posOffset>
            </wp:positionV>
            <wp:extent cx="5581650" cy="1423035"/>
            <wp:effectExtent l="19050" t="0" r="19050" b="5715"/>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334D55" w:rsidRPr="005D15CC" w:rsidRDefault="00334D55" w:rsidP="00334D55">
      <w:pPr>
        <w:jc w:val="center"/>
        <w:rPr>
          <w:rFonts w:ascii="Times New Roman" w:hAnsi="Times New Roman" w:cs="Times New Roman"/>
          <w:b/>
          <w:sz w:val="24"/>
          <w:szCs w:val="24"/>
          <w:lang w:val="en-US"/>
        </w:rPr>
      </w:pPr>
      <w:r w:rsidRPr="005D15CC">
        <w:rPr>
          <w:rFonts w:ascii="Times New Roman" w:hAnsi="Times New Roman" w:cs="Times New Roman"/>
          <w:b/>
          <w:sz w:val="24"/>
          <w:szCs w:val="24"/>
          <w:lang w:val="en-US"/>
        </w:rPr>
        <w:t>Scientific-methodical and research activities</w:t>
      </w:r>
      <w:r>
        <w:rPr>
          <w:rFonts w:ascii="Times New Roman" w:hAnsi="Times New Roman" w:cs="Times New Roman"/>
          <w:b/>
          <w:sz w:val="24"/>
          <w:szCs w:val="24"/>
          <w:lang w:val="en-US"/>
        </w:rPr>
        <w:t>.</w:t>
      </w:r>
    </w:p>
    <w:p w:rsidR="00334D55" w:rsidRDefault="00334D55" w:rsidP="00334D55">
      <w:pPr>
        <w:jc w:val="both"/>
        <w:rPr>
          <w:rFonts w:ascii="Times New Roman" w:hAnsi="Times New Roman" w:cs="Times New Roman"/>
          <w:sz w:val="24"/>
          <w:szCs w:val="24"/>
          <w:lang w:val="en-US"/>
        </w:rPr>
      </w:pPr>
      <w:proofErr w:type="gramStart"/>
      <w:r w:rsidRPr="005D15CC">
        <w:rPr>
          <w:rFonts w:ascii="Times New Roman" w:hAnsi="Times New Roman" w:cs="Times New Roman"/>
          <w:sz w:val="24"/>
          <w:szCs w:val="24"/>
          <w:lang w:val="en-US"/>
        </w:rPr>
        <w:t>Within the framework of scientific school "Management of the modernization process in the education system" IAPE NEFU conducts the research work "Additional professional education in contemporary transformations and their impact on the quality of life of educators", where the object of study is further professional education in a modern transformation, the subject is organization of educational activities educators with current transformation processes in the secondary additional education.</w:t>
      </w:r>
      <w:proofErr w:type="gramEnd"/>
    </w:p>
    <w:p w:rsidR="00334D55" w:rsidRPr="00FE6ECC" w:rsidRDefault="00334D55" w:rsidP="00334D55">
      <w:pPr>
        <w:jc w:val="both"/>
        <w:rPr>
          <w:rFonts w:ascii="Times New Roman" w:hAnsi="Times New Roman" w:cs="Times New Roman"/>
          <w:sz w:val="24"/>
          <w:szCs w:val="24"/>
          <w:lang w:val="en-US"/>
        </w:rPr>
      </w:pPr>
      <w:r w:rsidRPr="00FE6ECC">
        <w:rPr>
          <w:rFonts w:ascii="Times New Roman" w:hAnsi="Times New Roman" w:cs="Times New Roman"/>
          <w:sz w:val="24"/>
          <w:szCs w:val="24"/>
          <w:lang w:val="en-US"/>
        </w:rPr>
        <w:t>"The additional professional education in contemporary transformations and their impact on the quality of life of educators" consists of the following areas:</w:t>
      </w:r>
    </w:p>
    <w:p w:rsidR="00334D55" w:rsidRPr="00FE6ECC" w:rsidRDefault="00334D55" w:rsidP="00334D55">
      <w:pPr>
        <w:jc w:val="both"/>
        <w:rPr>
          <w:rFonts w:ascii="Times New Roman" w:hAnsi="Times New Roman" w:cs="Times New Roman"/>
          <w:sz w:val="24"/>
          <w:szCs w:val="24"/>
          <w:lang w:val="en-US"/>
        </w:rPr>
      </w:pPr>
      <w:r w:rsidRPr="00FE6ECC">
        <w:rPr>
          <w:rFonts w:ascii="Times New Roman" w:hAnsi="Times New Roman" w:cs="Times New Roman"/>
          <w:sz w:val="24"/>
          <w:szCs w:val="24"/>
          <w:lang w:val="en-US"/>
        </w:rPr>
        <w:t xml:space="preserve"> - "The add</w:t>
      </w:r>
      <w:r>
        <w:rPr>
          <w:rFonts w:ascii="Times New Roman" w:hAnsi="Times New Roman" w:cs="Times New Roman"/>
          <w:sz w:val="24"/>
          <w:szCs w:val="24"/>
          <w:lang w:val="en-US"/>
        </w:rPr>
        <w:t>i</w:t>
      </w:r>
      <w:r w:rsidRPr="00FE6ECC">
        <w:rPr>
          <w:rFonts w:ascii="Times New Roman" w:hAnsi="Times New Roman" w:cs="Times New Roman"/>
          <w:sz w:val="24"/>
          <w:szCs w:val="24"/>
          <w:lang w:val="en-US"/>
        </w:rPr>
        <w:t xml:space="preserve">tional professional education in contemporary transformations and their impact on the quality of life of teachers (comparative aspect: the example of the Republic of Sakha (Yakutia) and the Republic of Kazakhstan), Alaska (USA)" with the participation of the Republic of Kazakhstan, Alaska (USA). </w:t>
      </w:r>
    </w:p>
    <w:p w:rsidR="00334D55" w:rsidRDefault="00334D55" w:rsidP="00334D55">
      <w:pPr>
        <w:jc w:val="both"/>
        <w:rPr>
          <w:rFonts w:ascii="Times New Roman" w:hAnsi="Times New Roman" w:cs="Times New Roman"/>
          <w:sz w:val="24"/>
          <w:szCs w:val="24"/>
          <w:lang w:val="en-US"/>
        </w:rPr>
      </w:pPr>
      <w:r w:rsidRPr="00FE6ECC">
        <w:rPr>
          <w:rFonts w:ascii="Times New Roman" w:hAnsi="Times New Roman" w:cs="Times New Roman"/>
          <w:sz w:val="24"/>
          <w:szCs w:val="24"/>
          <w:lang w:val="en-US"/>
        </w:rPr>
        <w:t>- "E-learning as a cognitive technology in the professional development of the teacher."</w:t>
      </w:r>
    </w:p>
    <w:p w:rsidR="00334D55" w:rsidRDefault="00334D55" w:rsidP="00334D55">
      <w:pPr>
        <w:jc w:val="both"/>
        <w:rPr>
          <w:rFonts w:ascii="Times New Roman" w:hAnsi="Times New Roman" w:cs="Times New Roman"/>
          <w:sz w:val="24"/>
          <w:szCs w:val="24"/>
          <w:lang w:val="en-US"/>
        </w:rPr>
      </w:pPr>
      <w:r w:rsidRPr="00FE6ECC">
        <w:rPr>
          <w:rFonts w:ascii="Times New Roman" w:hAnsi="Times New Roman" w:cs="Times New Roman"/>
          <w:sz w:val="24"/>
          <w:szCs w:val="24"/>
          <w:lang w:val="en-US"/>
        </w:rPr>
        <w:t>The project "Provision of educational services for the realization of additional educational programs on remote interactive training teachers of educational institutions of the Republic of Sakha (Yakutia) to the English language by English-native teachers of language" was implemented within the framework of research "Additional professional education in contemporary transformations and their impact on the quality of life of teachers" .</w:t>
      </w:r>
    </w:p>
    <w:p w:rsidR="00334D55" w:rsidRDefault="00334D55" w:rsidP="00334D55">
      <w:pPr>
        <w:jc w:val="both"/>
        <w:rPr>
          <w:rFonts w:ascii="Times New Roman" w:hAnsi="Times New Roman" w:cs="Times New Roman"/>
          <w:sz w:val="24"/>
          <w:szCs w:val="24"/>
          <w:lang w:val="en-US"/>
        </w:rPr>
      </w:pPr>
      <w:proofErr w:type="gramStart"/>
      <w:r w:rsidRPr="009F0765">
        <w:rPr>
          <w:rFonts w:ascii="Times New Roman" w:hAnsi="Times New Roman" w:cs="Times New Roman"/>
          <w:sz w:val="24"/>
          <w:szCs w:val="24"/>
          <w:lang w:val="en-US"/>
        </w:rPr>
        <w:lastRenderedPageBreak/>
        <w:t>E-learning</w:t>
      </w:r>
      <w:proofErr w:type="gramEnd"/>
      <w:r w:rsidRPr="009F0765">
        <w:rPr>
          <w:rFonts w:ascii="Times New Roman" w:hAnsi="Times New Roman" w:cs="Times New Roman"/>
          <w:sz w:val="24"/>
          <w:szCs w:val="24"/>
          <w:lang w:val="en-US"/>
        </w:rPr>
        <w:t xml:space="preserve"> with the use of remote sensing technology involves the free choice of the individual modes with the material in a timely manner. The online survey of 190 teachers participating in the project "Remote online training teachers of educational institutions of the Republic of Sakha (Yakutia) English-native language teachers" </w:t>
      </w:r>
      <w:proofErr w:type="gramStart"/>
      <w:r w:rsidRPr="009F0765">
        <w:rPr>
          <w:rFonts w:ascii="Times New Roman" w:hAnsi="Times New Roman" w:cs="Times New Roman"/>
          <w:sz w:val="24"/>
          <w:szCs w:val="24"/>
          <w:lang w:val="en-US"/>
        </w:rPr>
        <w:t>was held</w:t>
      </w:r>
      <w:proofErr w:type="gramEnd"/>
      <w:r w:rsidRPr="009F0765">
        <w:rPr>
          <w:rFonts w:ascii="Times New Roman" w:hAnsi="Times New Roman" w:cs="Times New Roman"/>
          <w:sz w:val="24"/>
          <w:szCs w:val="24"/>
          <w:lang w:val="en-US"/>
        </w:rPr>
        <w:t xml:space="preserve"> to determine the professional and personal well-being of the teacher in the conditions of modern transformation processes in the formation of one of the areas of research. The aim of the survey was to identify the relationship of teachers to the quality and accessibility of education of the Republic of Sakha (Yakutia), as well as their professional value orientations.</w:t>
      </w:r>
    </w:p>
    <w:p w:rsidR="00334D55" w:rsidRDefault="00334D55" w:rsidP="00334D55">
      <w:pPr>
        <w:jc w:val="both"/>
        <w:rPr>
          <w:rFonts w:ascii="Times New Roman" w:hAnsi="Times New Roman" w:cs="Times New Roman"/>
          <w:sz w:val="24"/>
          <w:szCs w:val="24"/>
          <w:lang w:val="en-US"/>
        </w:rPr>
      </w:pPr>
      <w:r w:rsidRPr="009F0765">
        <w:rPr>
          <w:rFonts w:ascii="Times New Roman" w:hAnsi="Times New Roman" w:cs="Times New Roman"/>
          <w:sz w:val="24"/>
          <w:szCs w:val="24"/>
          <w:lang w:val="en-US"/>
        </w:rPr>
        <w:t>Research and scientific-methodical work also includes a local spread and exchange of experience by organizing and conducting events of various levels (Table 3).</w:t>
      </w:r>
    </w:p>
    <w:p w:rsidR="00334D55" w:rsidRDefault="00334D55" w:rsidP="00334D55">
      <w:pPr>
        <w:jc w:val="right"/>
        <w:rPr>
          <w:rFonts w:ascii="Times New Roman" w:hAnsi="Times New Roman" w:cs="Times New Roman"/>
          <w:sz w:val="24"/>
          <w:szCs w:val="24"/>
          <w:lang w:val="en-US"/>
        </w:rPr>
      </w:pPr>
      <w:r>
        <w:rPr>
          <w:rFonts w:ascii="Times New Roman" w:hAnsi="Times New Roman" w:cs="Times New Roman"/>
          <w:sz w:val="24"/>
          <w:szCs w:val="24"/>
          <w:lang w:val="en-US"/>
        </w:rPr>
        <w:t>Table 3</w:t>
      </w:r>
    </w:p>
    <w:tbl>
      <w:tblPr>
        <w:tblStyle w:val="a6"/>
        <w:tblW w:w="0" w:type="auto"/>
        <w:tblInd w:w="-34" w:type="dxa"/>
        <w:tblLayout w:type="fixed"/>
        <w:tblLook w:val="04A0" w:firstRow="1" w:lastRow="0" w:firstColumn="1" w:lastColumn="0" w:noHBand="0" w:noVBand="1"/>
      </w:tblPr>
      <w:tblGrid>
        <w:gridCol w:w="426"/>
        <w:gridCol w:w="3260"/>
        <w:gridCol w:w="1985"/>
        <w:gridCol w:w="1701"/>
        <w:gridCol w:w="2126"/>
      </w:tblGrid>
      <w:tr w:rsidR="00334D55" w:rsidRPr="00B52B01" w:rsidTr="00D57812">
        <w:tc>
          <w:tcPr>
            <w:tcW w:w="426" w:type="dxa"/>
          </w:tcPr>
          <w:p w:rsidR="00334D55" w:rsidRPr="00B52B01" w:rsidRDefault="00334D55" w:rsidP="00D57812">
            <w:pPr>
              <w:pStyle w:val="a4"/>
              <w:ind w:left="34"/>
              <w:jc w:val="right"/>
              <w:rPr>
                <w:rFonts w:ascii="Times New Roman" w:hAnsi="Times New Roman"/>
              </w:rPr>
            </w:pPr>
            <w:r w:rsidRPr="00B52B01">
              <w:rPr>
                <w:rFonts w:ascii="Times New Roman" w:hAnsi="Times New Roman"/>
              </w:rPr>
              <w:t>№</w:t>
            </w:r>
          </w:p>
        </w:tc>
        <w:tc>
          <w:tcPr>
            <w:tcW w:w="3260" w:type="dxa"/>
          </w:tcPr>
          <w:p w:rsidR="00334D55" w:rsidRPr="009F0765" w:rsidRDefault="00334D55" w:rsidP="00D57812">
            <w:pPr>
              <w:pStyle w:val="a4"/>
              <w:ind w:left="142"/>
              <w:jc w:val="both"/>
              <w:rPr>
                <w:rFonts w:ascii="Times New Roman" w:hAnsi="Times New Roman"/>
                <w:lang w:val="en-US"/>
              </w:rPr>
            </w:pPr>
            <w:r>
              <w:rPr>
                <w:rFonts w:ascii="Times New Roman" w:hAnsi="Times New Roman"/>
                <w:lang w:val="en-US"/>
              </w:rPr>
              <w:t>Name</w:t>
            </w:r>
          </w:p>
        </w:tc>
        <w:tc>
          <w:tcPr>
            <w:tcW w:w="1985" w:type="dxa"/>
          </w:tcPr>
          <w:p w:rsidR="00334D55" w:rsidRPr="009F0765" w:rsidRDefault="00334D55" w:rsidP="00D57812">
            <w:pPr>
              <w:pStyle w:val="a4"/>
              <w:jc w:val="both"/>
              <w:rPr>
                <w:rFonts w:ascii="Times New Roman" w:hAnsi="Times New Roman"/>
                <w:lang w:val="en-US"/>
              </w:rPr>
            </w:pPr>
            <w:r>
              <w:rPr>
                <w:rFonts w:ascii="Times New Roman" w:hAnsi="Times New Roman"/>
                <w:lang w:val="en-US"/>
              </w:rPr>
              <w:t xml:space="preserve">Kind </w:t>
            </w:r>
          </w:p>
        </w:tc>
        <w:tc>
          <w:tcPr>
            <w:tcW w:w="1701" w:type="dxa"/>
          </w:tcPr>
          <w:p w:rsidR="00334D55" w:rsidRPr="009F0765" w:rsidRDefault="00334D55" w:rsidP="00D57812">
            <w:pPr>
              <w:pStyle w:val="a4"/>
              <w:ind w:left="142"/>
              <w:jc w:val="both"/>
              <w:rPr>
                <w:rFonts w:ascii="Times New Roman" w:hAnsi="Times New Roman"/>
                <w:lang w:val="en-US"/>
              </w:rPr>
            </w:pPr>
            <w:r>
              <w:rPr>
                <w:rFonts w:ascii="Times New Roman" w:hAnsi="Times New Roman"/>
                <w:lang w:val="en-US"/>
              </w:rPr>
              <w:t>Timing</w:t>
            </w:r>
          </w:p>
        </w:tc>
        <w:tc>
          <w:tcPr>
            <w:tcW w:w="2126" w:type="dxa"/>
          </w:tcPr>
          <w:p w:rsidR="00334D55" w:rsidRPr="009F0765" w:rsidRDefault="00334D55" w:rsidP="00D57812">
            <w:pPr>
              <w:pStyle w:val="a4"/>
              <w:ind w:left="142"/>
              <w:jc w:val="both"/>
              <w:rPr>
                <w:rFonts w:ascii="Times New Roman" w:hAnsi="Times New Roman"/>
                <w:lang w:val="en-US"/>
              </w:rPr>
            </w:pPr>
            <w:r>
              <w:rPr>
                <w:rFonts w:ascii="Times New Roman" w:hAnsi="Times New Roman"/>
                <w:lang w:val="en-US"/>
              </w:rPr>
              <w:t xml:space="preserve">Result </w:t>
            </w:r>
          </w:p>
        </w:tc>
      </w:tr>
      <w:tr w:rsidR="00334D55" w:rsidRPr="00A44301" w:rsidTr="00D57812">
        <w:tc>
          <w:tcPr>
            <w:tcW w:w="426" w:type="dxa"/>
          </w:tcPr>
          <w:p w:rsidR="00334D55" w:rsidRPr="00B52B01" w:rsidRDefault="00334D55" w:rsidP="00D57812">
            <w:pPr>
              <w:pStyle w:val="a4"/>
              <w:ind w:left="34"/>
              <w:jc w:val="right"/>
              <w:rPr>
                <w:rFonts w:ascii="Times New Roman" w:hAnsi="Times New Roman"/>
              </w:rPr>
            </w:pPr>
            <w:r w:rsidRPr="00B52B01">
              <w:rPr>
                <w:rFonts w:ascii="Times New Roman" w:hAnsi="Times New Roman"/>
              </w:rPr>
              <w:t>1</w:t>
            </w:r>
          </w:p>
        </w:tc>
        <w:tc>
          <w:tcPr>
            <w:tcW w:w="3260" w:type="dxa"/>
          </w:tcPr>
          <w:p w:rsidR="00334D55" w:rsidRPr="009F0765" w:rsidRDefault="00334D55" w:rsidP="00D57812">
            <w:pPr>
              <w:pStyle w:val="a4"/>
              <w:ind w:left="142"/>
              <w:jc w:val="both"/>
              <w:rPr>
                <w:rFonts w:ascii="Times New Roman" w:hAnsi="Times New Roman"/>
                <w:lang w:val="en-US"/>
              </w:rPr>
            </w:pPr>
            <w:r w:rsidRPr="009F0765">
              <w:rPr>
                <w:rFonts w:ascii="Times New Roman" w:hAnsi="Times New Roman"/>
                <w:lang w:val="en-US"/>
              </w:rPr>
              <w:t>«Education, forward!» with international participation on the topic: "Education throughout life:</w:t>
            </w:r>
            <w:r>
              <w:rPr>
                <w:rFonts w:ascii="Times New Roman" w:hAnsi="Times New Roman"/>
                <w:lang w:val="en-US"/>
              </w:rPr>
              <w:t xml:space="preserve"> </w:t>
            </w:r>
            <w:r w:rsidRPr="009F0765">
              <w:rPr>
                <w:rFonts w:ascii="Times New Roman" w:hAnsi="Times New Roman"/>
                <w:lang w:val="en-US"/>
              </w:rPr>
              <w:t>additional education in the context of globalization</w:t>
            </w:r>
          </w:p>
        </w:tc>
        <w:tc>
          <w:tcPr>
            <w:tcW w:w="1985" w:type="dxa"/>
          </w:tcPr>
          <w:p w:rsidR="00334D55" w:rsidRPr="009F0765" w:rsidRDefault="00334D55" w:rsidP="00D57812">
            <w:pPr>
              <w:pStyle w:val="a4"/>
              <w:tabs>
                <w:tab w:val="left" w:pos="600"/>
              </w:tabs>
              <w:ind w:left="142"/>
              <w:jc w:val="both"/>
              <w:rPr>
                <w:rFonts w:ascii="Times New Roman" w:hAnsi="Times New Roman"/>
                <w:lang w:val="en-US"/>
              </w:rPr>
            </w:pPr>
            <w:r w:rsidRPr="009F0765">
              <w:rPr>
                <w:rFonts w:ascii="Times New Roman" w:hAnsi="Times New Roman"/>
                <w:lang w:val="en-US"/>
              </w:rPr>
              <w:t>Scientific and Educational Forum with the international participation</w:t>
            </w:r>
          </w:p>
        </w:tc>
        <w:tc>
          <w:tcPr>
            <w:tcW w:w="1701" w:type="dxa"/>
          </w:tcPr>
          <w:p w:rsidR="00334D55" w:rsidRPr="00A44301" w:rsidRDefault="00334D55" w:rsidP="00D57812">
            <w:pPr>
              <w:ind w:left="142"/>
              <w:jc w:val="both"/>
              <w:rPr>
                <w:rFonts w:ascii="Times New Roman" w:hAnsi="Times New Roman"/>
                <w:lang w:val="en-US"/>
              </w:rPr>
            </w:pPr>
            <w:r w:rsidRPr="00A44301">
              <w:rPr>
                <w:rFonts w:ascii="Times New Roman" w:hAnsi="Times New Roman"/>
                <w:lang w:val="en-US"/>
              </w:rPr>
              <w:t xml:space="preserve">22-26 </w:t>
            </w:r>
            <w:r>
              <w:rPr>
                <w:rFonts w:ascii="Times New Roman" w:hAnsi="Times New Roman"/>
                <w:lang w:val="en-US"/>
              </w:rPr>
              <w:t>June 2015</w:t>
            </w:r>
            <w:r w:rsidRPr="00A44301">
              <w:rPr>
                <w:rFonts w:ascii="Times New Roman" w:hAnsi="Times New Roman"/>
                <w:lang w:val="en-US"/>
              </w:rPr>
              <w:t xml:space="preserve">, </w:t>
            </w:r>
            <w:r>
              <w:rPr>
                <w:rFonts w:ascii="Times New Roman" w:hAnsi="Times New Roman"/>
                <w:lang w:val="en-US"/>
              </w:rPr>
              <w:t>Yakutsk city</w:t>
            </w:r>
          </w:p>
        </w:tc>
        <w:tc>
          <w:tcPr>
            <w:tcW w:w="2126" w:type="dxa"/>
          </w:tcPr>
          <w:p w:rsidR="00334D55" w:rsidRPr="00A44301" w:rsidRDefault="00334D55" w:rsidP="00D57812">
            <w:pPr>
              <w:pStyle w:val="a4"/>
              <w:ind w:left="142"/>
              <w:jc w:val="both"/>
              <w:rPr>
                <w:rFonts w:ascii="Times New Roman" w:hAnsi="Times New Roman"/>
                <w:lang w:val="en-US"/>
              </w:rPr>
            </w:pPr>
            <w:r>
              <w:rPr>
                <w:rFonts w:ascii="Times New Roman" w:hAnsi="Times New Roman"/>
                <w:lang w:val="en-US"/>
              </w:rPr>
              <w:t xml:space="preserve">In total 417 participants have </w:t>
            </w:r>
            <w:r w:rsidRPr="00A44301">
              <w:rPr>
                <w:rFonts w:ascii="Times New Roman" w:hAnsi="Times New Roman"/>
                <w:lang w:val="en-US"/>
              </w:rPr>
              <w:t>attended. Collection SEF «Education, forward</w:t>
            </w:r>
            <w:proofErr w:type="gramStart"/>
            <w:r w:rsidRPr="00A44301">
              <w:rPr>
                <w:rFonts w:ascii="Times New Roman" w:hAnsi="Times New Roman"/>
                <w:lang w:val="en-US"/>
              </w:rPr>
              <w:t>!»</w:t>
            </w:r>
            <w:proofErr w:type="gramEnd"/>
          </w:p>
        </w:tc>
      </w:tr>
      <w:tr w:rsidR="00334D55" w:rsidRPr="00334D55" w:rsidTr="00D57812">
        <w:tc>
          <w:tcPr>
            <w:tcW w:w="426" w:type="dxa"/>
          </w:tcPr>
          <w:p w:rsidR="00334D55" w:rsidRPr="00A44301" w:rsidRDefault="00334D55" w:rsidP="00D57812">
            <w:pPr>
              <w:pStyle w:val="a4"/>
              <w:ind w:left="34"/>
              <w:jc w:val="right"/>
              <w:rPr>
                <w:rFonts w:ascii="Times New Roman" w:hAnsi="Times New Roman"/>
                <w:lang w:val="en-US"/>
              </w:rPr>
            </w:pPr>
            <w:r w:rsidRPr="00A44301">
              <w:rPr>
                <w:rFonts w:ascii="Times New Roman" w:hAnsi="Times New Roman"/>
                <w:lang w:val="en-US"/>
              </w:rPr>
              <w:t>2</w:t>
            </w:r>
          </w:p>
        </w:tc>
        <w:tc>
          <w:tcPr>
            <w:tcW w:w="3260" w:type="dxa"/>
          </w:tcPr>
          <w:p w:rsidR="00334D55" w:rsidRPr="009F0765" w:rsidRDefault="00334D55" w:rsidP="00D57812">
            <w:pPr>
              <w:spacing w:before="100" w:beforeAutospacing="1"/>
              <w:ind w:left="142"/>
              <w:textAlignment w:val="center"/>
              <w:rPr>
                <w:rFonts w:ascii="Arial" w:eastAsia="Times New Roman" w:hAnsi="Arial" w:cs="Arial"/>
                <w:color w:val="000000"/>
                <w:lang w:val="en-US"/>
              </w:rPr>
            </w:pPr>
            <w:r w:rsidRPr="009F0765">
              <w:rPr>
                <w:rFonts w:ascii="Arial" w:eastAsia="Times New Roman" w:hAnsi="Arial" w:cs="Arial"/>
                <w:color w:val="000000"/>
                <w:lang w:val="en-US"/>
              </w:rPr>
              <w:t>"</w:t>
            </w:r>
            <w:r w:rsidRPr="009F0765">
              <w:rPr>
                <w:rFonts w:ascii="Times New Roman" w:eastAsia="Times New Roman" w:hAnsi="Times New Roman" w:cs="Times New Roman"/>
                <w:color w:val="000000"/>
                <w:lang w:val="en-US"/>
              </w:rPr>
              <w:t>Modern aspects of adult education at the Federal University"</w:t>
            </w:r>
          </w:p>
        </w:tc>
        <w:tc>
          <w:tcPr>
            <w:tcW w:w="1985" w:type="dxa"/>
          </w:tcPr>
          <w:p w:rsidR="00334D55" w:rsidRPr="009F0765" w:rsidRDefault="00334D55" w:rsidP="00D57812">
            <w:pPr>
              <w:spacing w:before="100" w:beforeAutospacing="1"/>
              <w:ind w:left="142"/>
              <w:textAlignment w:val="center"/>
              <w:rPr>
                <w:rFonts w:ascii="Times New Roman" w:eastAsia="Times New Roman" w:hAnsi="Times New Roman" w:cs="Times New Roman"/>
                <w:color w:val="000000"/>
                <w:lang w:val="en-US"/>
              </w:rPr>
            </w:pPr>
            <w:proofErr w:type="spellStart"/>
            <w:r w:rsidRPr="009F0765">
              <w:rPr>
                <w:rFonts w:ascii="Times New Roman" w:eastAsia="Times New Roman" w:hAnsi="Times New Roman" w:cs="Times New Roman"/>
                <w:color w:val="000000"/>
              </w:rPr>
              <w:t>Scientific</w:t>
            </w:r>
            <w:proofErr w:type="spellEnd"/>
            <w:r>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method</w:t>
            </w:r>
            <w:r w:rsidRPr="009F0765">
              <w:rPr>
                <w:rFonts w:ascii="Times New Roman" w:eastAsia="Times New Roman" w:hAnsi="Times New Roman" w:cs="Times New Roman"/>
                <w:color w:val="000000"/>
              </w:rPr>
              <w:t>ical</w:t>
            </w:r>
            <w:proofErr w:type="spellEnd"/>
            <w:r w:rsidRPr="009F0765">
              <w:rPr>
                <w:rFonts w:ascii="Times New Roman" w:eastAsia="Times New Roman" w:hAnsi="Times New Roman" w:cs="Times New Roman"/>
                <w:color w:val="000000"/>
              </w:rPr>
              <w:t xml:space="preserve"> </w:t>
            </w:r>
            <w:proofErr w:type="spellStart"/>
            <w:r w:rsidRPr="009F0765">
              <w:rPr>
                <w:rFonts w:ascii="Times New Roman" w:eastAsia="Times New Roman" w:hAnsi="Times New Roman" w:cs="Times New Roman"/>
                <w:color w:val="000000"/>
              </w:rPr>
              <w:t>seminar</w:t>
            </w:r>
            <w:proofErr w:type="spellEnd"/>
            <w:r w:rsidRPr="009F0765">
              <w:rPr>
                <w:rFonts w:ascii="Times New Roman" w:eastAsia="Times New Roman" w:hAnsi="Times New Roman" w:cs="Times New Roman"/>
                <w:color w:val="000000"/>
                <w:lang w:val="en-US"/>
              </w:rPr>
              <w:t xml:space="preserve"> </w:t>
            </w:r>
          </w:p>
        </w:tc>
        <w:tc>
          <w:tcPr>
            <w:tcW w:w="1701" w:type="dxa"/>
          </w:tcPr>
          <w:p w:rsidR="00334D55" w:rsidRPr="00B52B01" w:rsidRDefault="00334D55" w:rsidP="00D57812">
            <w:pPr>
              <w:spacing w:before="100" w:beforeAutospacing="1"/>
              <w:ind w:left="142"/>
              <w:textAlignment w:val="center"/>
              <w:rPr>
                <w:rFonts w:ascii="Arial" w:eastAsia="Times New Roman" w:hAnsi="Arial" w:cs="Arial"/>
                <w:color w:val="000000"/>
              </w:rPr>
            </w:pPr>
            <w:r>
              <w:rPr>
                <w:rFonts w:ascii="Times New Roman" w:eastAsia="Times New Roman" w:hAnsi="Times New Roman"/>
                <w:color w:val="000000"/>
              </w:rPr>
              <w:t>26.11.2015</w:t>
            </w:r>
            <w:r w:rsidRPr="00B52B01">
              <w:rPr>
                <w:rFonts w:ascii="Times New Roman" w:eastAsia="Times New Roman" w:hAnsi="Times New Roman"/>
                <w:color w:val="000000"/>
              </w:rPr>
              <w:t>.</w:t>
            </w:r>
          </w:p>
        </w:tc>
        <w:tc>
          <w:tcPr>
            <w:tcW w:w="2126" w:type="dxa"/>
          </w:tcPr>
          <w:p w:rsidR="00334D55" w:rsidRPr="00A44301" w:rsidRDefault="00334D55" w:rsidP="00D57812">
            <w:pPr>
              <w:pStyle w:val="a4"/>
              <w:ind w:left="142"/>
              <w:jc w:val="both"/>
              <w:rPr>
                <w:rFonts w:ascii="Times New Roman" w:hAnsi="Times New Roman"/>
                <w:color w:val="FF0000"/>
                <w:lang w:val="en-US"/>
              </w:rPr>
            </w:pPr>
            <w:r>
              <w:rPr>
                <w:rFonts w:ascii="Times New Roman" w:hAnsi="Times New Roman"/>
                <w:lang w:val="en-US"/>
              </w:rPr>
              <w:t xml:space="preserve">In total 78 participants have attended </w:t>
            </w:r>
          </w:p>
        </w:tc>
      </w:tr>
    </w:tbl>
    <w:p w:rsidR="00334D55" w:rsidRDefault="00334D55" w:rsidP="00334D55">
      <w:pPr>
        <w:jc w:val="center"/>
        <w:rPr>
          <w:rFonts w:ascii="Times New Roman" w:hAnsi="Times New Roman" w:cs="Times New Roman"/>
          <w:sz w:val="24"/>
          <w:szCs w:val="24"/>
          <w:lang w:val="en-US"/>
        </w:rPr>
      </w:pPr>
    </w:p>
    <w:p w:rsidR="00334D55" w:rsidRDefault="00334D55" w:rsidP="00334D55">
      <w:pPr>
        <w:jc w:val="center"/>
        <w:rPr>
          <w:rFonts w:ascii="Times New Roman" w:hAnsi="Times New Roman" w:cs="Times New Roman"/>
          <w:sz w:val="24"/>
          <w:szCs w:val="24"/>
          <w:lang w:val="en-US"/>
        </w:rPr>
      </w:pPr>
      <w:r w:rsidRPr="00A44301">
        <w:rPr>
          <w:rFonts w:ascii="Times New Roman" w:hAnsi="Times New Roman" w:cs="Times New Roman"/>
          <w:sz w:val="24"/>
          <w:szCs w:val="24"/>
          <w:lang w:val="en-US"/>
        </w:rPr>
        <w:t xml:space="preserve">The research, methodical work of the Institute </w:t>
      </w:r>
      <w:proofErr w:type="gramStart"/>
      <w:r w:rsidRPr="00A44301">
        <w:rPr>
          <w:rFonts w:ascii="Times New Roman" w:hAnsi="Times New Roman" w:cs="Times New Roman"/>
          <w:sz w:val="24"/>
          <w:szCs w:val="24"/>
          <w:lang w:val="en-US"/>
        </w:rPr>
        <w:t>was recognized</w:t>
      </w:r>
      <w:proofErr w:type="gramEnd"/>
      <w:r w:rsidRPr="00A44301">
        <w:rPr>
          <w:rFonts w:ascii="Times New Roman" w:hAnsi="Times New Roman" w:cs="Times New Roman"/>
          <w:sz w:val="24"/>
          <w:szCs w:val="24"/>
          <w:lang w:val="en-US"/>
        </w:rPr>
        <w:t xml:space="preserve"> in staff publications of IAPE (Figure 5):</w:t>
      </w:r>
    </w:p>
    <w:p w:rsidR="00334D55" w:rsidRDefault="00334D55" w:rsidP="00334D55">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Publications of employees </w:t>
      </w:r>
      <w:r w:rsidRPr="00E1478C">
        <w:rPr>
          <w:rFonts w:ascii="Times New Roman" w:hAnsi="Times New Roman" w:cs="Times New Roman"/>
          <w:sz w:val="24"/>
          <w:szCs w:val="24"/>
          <w:lang w:val="en-US"/>
        </w:rPr>
        <w:t>IAPE NEFU.</w:t>
      </w:r>
      <w:r>
        <w:rPr>
          <w:rFonts w:ascii="Times New Roman" w:hAnsi="Times New Roman" w:cs="Times New Roman"/>
          <w:sz w:val="24"/>
          <w:szCs w:val="24"/>
          <w:lang w:val="en-US"/>
        </w:rPr>
        <w:t xml:space="preserve">                                               Figure 5</w:t>
      </w:r>
    </w:p>
    <w:p w:rsidR="00334D55" w:rsidRDefault="00334D55" w:rsidP="00334D55">
      <w:pPr>
        <w:jc w:val="center"/>
        <w:rPr>
          <w:rFonts w:ascii="Times New Roman" w:hAnsi="Times New Roman" w:cs="Times New Roman"/>
          <w:sz w:val="24"/>
          <w:szCs w:val="24"/>
          <w:lang w:val="en-US"/>
        </w:rPr>
      </w:pPr>
      <w:r w:rsidRPr="00E1478C">
        <w:rPr>
          <w:rFonts w:ascii="Times New Roman" w:hAnsi="Times New Roman" w:cs="Times New Roman"/>
          <w:noProof/>
          <w:sz w:val="24"/>
          <w:szCs w:val="24"/>
        </w:rPr>
        <w:drawing>
          <wp:inline distT="0" distB="0" distL="0" distR="0" wp14:anchorId="71197EDE" wp14:editId="7A250621">
            <wp:extent cx="4740275" cy="2003425"/>
            <wp:effectExtent l="19050" t="0" r="22225" b="0"/>
            <wp:docPr id="5"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34D55" w:rsidRDefault="00334D55" w:rsidP="00334D55">
      <w:pPr>
        <w:jc w:val="both"/>
        <w:rPr>
          <w:rFonts w:ascii="Times New Roman" w:hAnsi="Times New Roman" w:cs="Times New Roman"/>
          <w:sz w:val="24"/>
          <w:szCs w:val="24"/>
          <w:lang w:val="en-US"/>
        </w:rPr>
      </w:pPr>
      <w:r w:rsidRPr="00E1478C">
        <w:rPr>
          <w:rFonts w:ascii="Times New Roman" w:hAnsi="Times New Roman" w:cs="Times New Roman"/>
          <w:sz w:val="24"/>
          <w:szCs w:val="24"/>
          <w:lang w:val="en-US"/>
        </w:rPr>
        <w:t xml:space="preserve">Thus, the relevance of additional professional programs conditioned </w:t>
      </w:r>
      <w:proofErr w:type="gramStart"/>
      <w:r w:rsidRPr="00E1478C">
        <w:rPr>
          <w:rFonts w:ascii="Times New Roman" w:hAnsi="Times New Roman" w:cs="Times New Roman"/>
          <w:sz w:val="24"/>
          <w:szCs w:val="24"/>
          <w:lang w:val="en-US"/>
        </w:rPr>
        <w:t>by  the</w:t>
      </w:r>
      <w:proofErr w:type="gramEnd"/>
      <w:r w:rsidRPr="00E1478C">
        <w:rPr>
          <w:rFonts w:ascii="Times New Roman" w:hAnsi="Times New Roman" w:cs="Times New Roman"/>
          <w:sz w:val="24"/>
          <w:szCs w:val="24"/>
          <w:lang w:val="en-US"/>
        </w:rPr>
        <w:t xml:space="preserve"> interest in the real sector of economy, social sphere and business for highly qualified specialists. Integrated and advanced development activities of addi</w:t>
      </w:r>
      <w:r>
        <w:rPr>
          <w:rFonts w:ascii="Times New Roman" w:hAnsi="Times New Roman" w:cs="Times New Roman"/>
          <w:sz w:val="24"/>
          <w:szCs w:val="24"/>
          <w:lang w:val="en-US"/>
        </w:rPr>
        <w:t>ti</w:t>
      </w:r>
      <w:r w:rsidRPr="00E1478C">
        <w:rPr>
          <w:rFonts w:ascii="Times New Roman" w:hAnsi="Times New Roman" w:cs="Times New Roman"/>
          <w:sz w:val="24"/>
          <w:szCs w:val="24"/>
          <w:lang w:val="en-US"/>
        </w:rPr>
        <w:t>onal professional education allows NEFU effectively to participate in research and educational activities, promotes the continuous introduction of innovative approaches to participation in the developmen</w:t>
      </w:r>
      <w:r>
        <w:rPr>
          <w:rFonts w:ascii="Times New Roman" w:hAnsi="Times New Roman" w:cs="Times New Roman"/>
          <w:sz w:val="24"/>
          <w:szCs w:val="24"/>
          <w:lang w:val="en-US"/>
        </w:rPr>
        <w:t xml:space="preserve">t of a methodology andragogic </w:t>
      </w:r>
      <w:r w:rsidRPr="00E1478C">
        <w:rPr>
          <w:rFonts w:ascii="Times New Roman" w:hAnsi="Times New Roman" w:cs="Times New Roman"/>
          <w:sz w:val="24"/>
          <w:szCs w:val="24"/>
          <w:lang w:val="en-US"/>
        </w:rPr>
        <w:t>education to meet modern paradigms of education.</w:t>
      </w:r>
    </w:p>
    <w:p w:rsidR="002D395C" w:rsidRPr="00334D55" w:rsidRDefault="002D395C">
      <w:pPr>
        <w:rPr>
          <w:lang w:val="en-US"/>
        </w:rPr>
      </w:pPr>
      <w:bookmarkStart w:id="0" w:name="_GoBack"/>
      <w:bookmarkEnd w:id="0"/>
    </w:p>
    <w:sectPr w:rsidR="002D395C" w:rsidRPr="00334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55"/>
    <w:rsid w:val="002D395C"/>
    <w:rsid w:val="00334D55"/>
    <w:rsid w:val="003A574F"/>
    <w:rsid w:val="00437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39F01-3003-402B-A7EC-91F64334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D5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
    <w:basedOn w:val="a"/>
    <w:qFormat/>
    <w:rsid w:val="00334D55"/>
    <w:pPr>
      <w:spacing w:after="0" w:line="240" w:lineRule="auto"/>
      <w:jc w:val="center"/>
    </w:pPr>
    <w:rPr>
      <w:rFonts w:ascii="Times New Roman" w:hAnsi="Times New Roman" w:cs="Times New Roman"/>
      <w:sz w:val="20"/>
      <w:szCs w:val="24"/>
      <w:lang w:eastAsia="en-US"/>
    </w:rPr>
  </w:style>
  <w:style w:type="paragraph" w:styleId="a4">
    <w:name w:val="No Spacing"/>
    <w:link w:val="a5"/>
    <w:uiPriority w:val="1"/>
    <w:qFormat/>
    <w:rsid w:val="00334D55"/>
    <w:pPr>
      <w:spacing w:after="0" w:line="240" w:lineRule="auto"/>
    </w:pPr>
    <w:rPr>
      <w:rFonts w:eastAsiaTheme="minorEastAsia"/>
      <w:lang w:eastAsia="ru-RU"/>
    </w:rPr>
  </w:style>
  <w:style w:type="character" w:customStyle="1" w:styleId="a5">
    <w:name w:val="Без интервала Знак"/>
    <w:link w:val="a4"/>
    <w:uiPriority w:val="1"/>
    <w:locked/>
    <w:rsid w:val="00334D55"/>
    <w:rPr>
      <w:rFonts w:eastAsiaTheme="minorEastAsia"/>
      <w:lang w:eastAsia="ru-RU"/>
    </w:rPr>
  </w:style>
  <w:style w:type="table" w:styleId="a6">
    <w:name w:val="Table Grid"/>
    <w:basedOn w:val="a1"/>
    <w:uiPriority w:val="39"/>
    <w:rsid w:val="00334D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10" Type="http://schemas.openxmlformats.org/officeDocument/2006/relationships/theme" Target="theme/theme1.xml"/><Relationship Id="rId4" Type="http://schemas.openxmlformats.org/officeDocument/2006/relationships/chart" Target="charts/chart1.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Microsoft_Office_Excel_2007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Microsoft_Office_Excel_2007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Microsoft_Office_Excel_2007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Microsoft_Office_Excel_2007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Microsoft_Office_Excel_2007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98" b="1" i="0" u="none" strike="noStrike" kern="1200" spc="0" baseline="0">
                <a:solidFill>
                  <a:schemeClr val="tx1">
                    <a:lumMod val="65000"/>
                    <a:lumOff val="35000"/>
                  </a:schemeClr>
                </a:solidFill>
                <a:latin typeface="+mn-lt"/>
                <a:ea typeface="+mn-ea"/>
                <a:cs typeface="+mn-cs"/>
              </a:defRPr>
            </a:pPr>
            <a:r>
              <a:rPr lang="en-US" sz="1198" b="0">
                <a:latin typeface="Times New Roman" pitchFamily="18" charset="0"/>
                <a:cs typeface="Times New Roman" pitchFamily="18" charset="0"/>
              </a:rPr>
              <a:t>Education programmes</a:t>
            </a:r>
            <a:endParaRPr lang="ru-RU" sz="1198" b="0">
              <a:latin typeface="Times New Roman" pitchFamily="18" charset="0"/>
              <a:cs typeface="Times New Roman" pitchFamily="18" charset="0"/>
            </a:endParaRPr>
          </a:p>
        </c:rich>
      </c:tx>
      <c:layout>
        <c:manualLayout>
          <c:xMode val="edge"/>
          <c:yMode val="edge"/>
          <c:x val="0.32286140549154585"/>
          <c:y val="2.3351497378929819E-3"/>
        </c:manualLayout>
      </c:layout>
      <c:overlay val="0"/>
      <c:spPr>
        <a:noFill/>
        <a:ln w="25368">
          <a:noFill/>
        </a:ln>
      </c:spPr>
    </c:title>
    <c:autoTitleDeleted val="0"/>
    <c:plotArea>
      <c:layout>
        <c:manualLayout>
          <c:layoutTarget val="inner"/>
          <c:xMode val="edge"/>
          <c:yMode val="edge"/>
          <c:x val="7.358565909228415E-2"/>
          <c:y val="9.0639001878319705E-2"/>
          <c:w val="0.90226505440936233"/>
          <c:h val="0.62220378030902768"/>
        </c:manualLayout>
      </c:layout>
      <c:lineChart>
        <c:grouping val="standard"/>
        <c:varyColors val="0"/>
        <c:ser>
          <c:idx val="0"/>
          <c:order val="0"/>
          <c:tx>
            <c:strRef>
              <c:f>Лист1!$B$1</c:f>
              <c:strCache>
                <c:ptCount val="1"/>
                <c:pt idx="0">
                  <c:v>Extension courses</c:v>
                </c:pt>
              </c:strCache>
            </c:strRef>
          </c:tx>
          <c:spPr>
            <a:ln w="28539" cap="rnd">
              <a:solidFill>
                <a:schemeClr val="accent1"/>
              </a:solidFill>
              <a:round/>
            </a:ln>
            <a:effectLst/>
          </c:spPr>
          <c:marker>
            <c:symbol val="none"/>
          </c:marker>
          <c:cat>
            <c:strRef>
              <c:f>Лист1!$A$2:$A$7</c:f>
              <c:strCache>
                <c:ptCount val="6"/>
                <c:pt idx="0">
                  <c:v>2010г.</c:v>
                </c:pt>
                <c:pt idx="1">
                  <c:v>2011г.</c:v>
                </c:pt>
                <c:pt idx="2">
                  <c:v>2012г.</c:v>
                </c:pt>
                <c:pt idx="3">
                  <c:v>2013г.</c:v>
                </c:pt>
                <c:pt idx="4">
                  <c:v>2014г.</c:v>
                </c:pt>
                <c:pt idx="5">
                  <c:v>2015</c:v>
                </c:pt>
              </c:strCache>
            </c:strRef>
          </c:cat>
          <c:val>
            <c:numRef>
              <c:f>Лист1!$B$2:$B$7</c:f>
              <c:numCache>
                <c:formatCode>General</c:formatCode>
                <c:ptCount val="6"/>
                <c:pt idx="0">
                  <c:v>2</c:v>
                </c:pt>
                <c:pt idx="1">
                  <c:v>19</c:v>
                </c:pt>
                <c:pt idx="2">
                  <c:v>2</c:v>
                </c:pt>
                <c:pt idx="3">
                  <c:v>22</c:v>
                </c:pt>
                <c:pt idx="4">
                  <c:v>11</c:v>
                </c:pt>
                <c:pt idx="5">
                  <c:v>30</c:v>
                </c:pt>
              </c:numCache>
            </c:numRef>
          </c:val>
          <c:smooth val="0"/>
        </c:ser>
        <c:ser>
          <c:idx val="1"/>
          <c:order val="1"/>
          <c:tx>
            <c:strRef>
              <c:f>Лист1!$C$1</c:f>
              <c:strCache>
                <c:ptCount val="1"/>
                <c:pt idx="0">
                  <c:v>Professional retraining</c:v>
                </c:pt>
              </c:strCache>
            </c:strRef>
          </c:tx>
          <c:spPr>
            <a:ln w="28539" cap="rnd">
              <a:solidFill>
                <a:schemeClr val="accent2"/>
              </a:solidFill>
              <a:round/>
            </a:ln>
            <a:effectLst/>
          </c:spPr>
          <c:marker>
            <c:symbol val="none"/>
          </c:marker>
          <c:cat>
            <c:strRef>
              <c:f>Лист1!$A$2:$A$7</c:f>
              <c:strCache>
                <c:ptCount val="6"/>
                <c:pt idx="0">
                  <c:v>2010г.</c:v>
                </c:pt>
                <c:pt idx="1">
                  <c:v>2011г.</c:v>
                </c:pt>
                <c:pt idx="2">
                  <c:v>2012г.</c:v>
                </c:pt>
                <c:pt idx="3">
                  <c:v>2013г.</c:v>
                </c:pt>
                <c:pt idx="4">
                  <c:v>2014г.</c:v>
                </c:pt>
                <c:pt idx="5">
                  <c:v>2015</c:v>
                </c:pt>
              </c:strCache>
            </c:strRef>
          </c:cat>
          <c:val>
            <c:numRef>
              <c:f>Лист1!$C$2:$C$7</c:f>
              <c:numCache>
                <c:formatCode>General</c:formatCode>
                <c:ptCount val="6"/>
                <c:pt idx="0">
                  <c:v>1</c:v>
                </c:pt>
                <c:pt idx="1">
                  <c:v>3</c:v>
                </c:pt>
                <c:pt idx="2">
                  <c:v>15</c:v>
                </c:pt>
                <c:pt idx="3">
                  <c:v>3</c:v>
                </c:pt>
                <c:pt idx="4">
                  <c:v>28</c:v>
                </c:pt>
                <c:pt idx="5">
                  <c:v>7</c:v>
                </c:pt>
              </c:numCache>
            </c:numRef>
          </c:val>
          <c:smooth val="0"/>
        </c:ser>
        <c:ser>
          <c:idx val="2"/>
          <c:order val="2"/>
          <c:tx>
            <c:strRef>
              <c:f>Лист1!$D$1</c:f>
              <c:strCache>
                <c:ptCount val="1"/>
                <c:pt idx="0">
                  <c:v>Modules</c:v>
                </c:pt>
              </c:strCache>
            </c:strRef>
          </c:tx>
          <c:spPr>
            <a:ln w="28539" cap="rnd">
              <a:solidFill>
                <a:schemeClr val="accent3"/>
              </a:solidFill>
              <a:round/>
            </a:ln>
            <a:effectLst/>
          </c:spPr>
          <c:marker>
            <c:symbol val="none"/>
          </c:marker>
          <c:cat>
            <c:strRef>
              <c:f>Лист1!$A$2:$A$7</c:f>
              <c:strCache>
                <c:ptCount val="6"/>
                <c:pt idx="0">
                  <c:v>2010г.</c:v>
                </c:pt>
                <c:pt idx="1">
                  <c:v>2011г.</c:v>
                </c:pt>
                <c:pt idx="2">
                  <c:v>2012г.</c:v>
                </c:pt>
                <c:pt idx="3">
                  <c:v>2013г.</c:v>
                </c:pt>
                <c:pt idx="4">
                  <c:v>2014г.</c:v>
                </c:pt>
                <c:pt idx="5">
                  <c:v>2015</c:v>
                </c:pt>
              </c:strCache>
            </c:strRef>
          </c:cat>
          <c:val>
            <c:numRef>
              <c:f>Лист1!$D$2:$D$7</c:f>
              <c:numCache>
                <c:formatCode>General</c:formatCode>
                <c:ptCount val="6"/>
                <c:pt idx="0">
                  <c:v>0</c:v>
                </c:pt>
                <c:pt idx="1">
                  <c:v>96</c:v>
                </c:pt>
                <c:pt idx="2">
                  <c:v>0</c:v>
                </c:pt>
                <c:pt idx="3">
                  <c:v>0</c:v>
                </c:pt>
                <c:pt idx="4">
                  <c:v>0</c:v>
                </c:pt>
                <c:pt idx="5">
                  <c:v>0</c:v>
                </c:pt>
              </c:numCache>
            </c:numRef>
          </c:val>
          <c:smooth val="0"/>
        </c:ser>
        <c:dLbls>
          <c:showLegendKey val="0"/>
          <c:showVal val="0"/>
          <c:showCatName val="0"/>
          <c:showSerName val="0"/>
          <c:showPercent val="0"/>
          <c:showBubbleSize val="0"/>
        </c:dLbls>
        <c:smooth val="0"/>
        <c:axId val="456547504"/>
        <c:axId val="456547112"/>
      </c:lineChart>
      <c:catAx>
        <c:axId val="456547504"/>
        <c:scaling>
          <c:orientation val="minMax"/>
        </c:scaling>
        <c:delete val="0"/>
        <c:axPos val="b"/>
        <c:numFmt formatCode="General" sourceLinked="1"/>
        <c:majorTickMark val="none"/>
        <c:minorTickMark val="none"/>
        <c:tickLblPos val="nextTo"/>
        <c:spPr>
          <a:noFill/>
          <a:ln w="9513" cap="flat" cmpd="sng" algn="ctr">
            <a:solidFill>
              <a:schemeClr val="tx1">
                <a:lumMod val="15000"/>
                <a:lumOff val="85000"/>
              </a:schemeClr>
            </a:solidFill>
            <a:round/>
          </a:ln>
          <a:effectLst/>
        </c:spPr>
        <c:txPr>
          <a:bodyPr rot="-60000000" spcFirstLastPara="1" vertOverflow="ellipsis" vert="horz" wrap="square" anchor="ctr" anchorCtr="1"/>
          <a:lstStyle/>
          <a:p>
            <a:pPr>
              <a:defRPr sz="899" b="1" i="0" u="none" strike="noStrike" kern="1200" baseline="0">
                <a:solidFill>
                  <a:schemeClr val="tx1">
                    <a:lumMod val="65000"/>
                    <a:lumOff val="35000"/>
                  </a:schemeClr>
                </a:solidFill>
                <a:latin typeface="+mn-lt"/>
                <a:ea typeface="+mn-ea"/>
                <a:cs typeface="+mn-cs"/>
              </a:defRPr>
            </a:pPr>
            <a:endParaRPr lang="ru-RU"/>
          </a:p>
        </c:txPr>
        <c:crossAx val="456547112"/>
        <c:crosses val="autoZero"/>
        <c:auto val="1"/>
        <c:lblAlgn val="ctr"/>
        <c:lblOffset val="100"/>
        <c:noMultiLvlLbl val="0"/>
      </c:catAx>
      <c:valAx>
        <c:axId val="456547112"/>
        <c:scaling>
          <c:orientation val="minMax"/>
        </c:scaling>
        <c:delete val="0"/>
        <c:axPos val="l"/>
        <c:majorGridlines>
          <c:spPr>
            <a:ln w="9513" cap="flat" cmpd="sng" algn="ctr">
              <a:solidFill>
                <a:schemeClr val="tx1">
                  <a:lumMod val="15000"/>
                  <a:lumOff val="85000"/>
                </a:schemeClr>
              </a:solidFill>
              <a:round/>
            </a:ln>
            <a:effectLst/>
          </c:spPr>
        </c:majorGridlines>
        <c:numFmt formatCode="General" sourceLinked="1"/>
        <c:majorTickMark val="none"/>
        <c:minorTickMark val="none"/>
        <c:tickLblPos val="nextTo"/>
        <c:spPr>
          <a:ln w="9513">
            <a:noFill/>
          </a:ln>
        </c:spPr>
        <c:txPr>
          <a:bodyPr rot="-60000000" spcFirstLastPara="1" vertOverflow="ellipsis" vert="horz" wrap="square" anchor="ctr" anchorCtr="1"/>
          <a:lstStyle/>
          <a:p>
            <a:pPr>
              <a:defRPr sz="899" b="1" i="0" u="none" strike="noStrike" kern="1200" baseline="0">
                <a:solidFill>
                  <a:schemeClr val="tx1">
                    <a:lumMod val="65000"/>
                    <a:lumOff val="35000"/>
                  </a:schemeClr>
                </a:solidFill>
                <a:latin typeface="+mn-lt"/>
                <a:ea typeface="+mn-ea"/>
                <a:cs typeface="+mn-cs"/>
              </a:defRPr>
            </a:pPr>
            <a:endParaRPr lang="ru-RU"/>
          </a:p>
        </c:txPr>
        <c:crossAx val="456547504"/>
        <c:crosses val="autoZero"/>
        <c:crossBetween val="between"/>
      </c:valAx>
      <c:spPr>
        <a:noFill/>
        <a:ln w="25368">
          <a:noFill/>
        </a:ln>
      </c:spPr>
    </c:plotArea>
    <c:legend>
      <c:legendPos val="b"/>
      <c:layout>
        <c:manualLayout>
          <c:xMode val="edge"/>
          <c:yMode val="edge"/>
          <c:x val="4.9999913567335533E-2"/>
          <c:y val="0.85551218419971609"/>
          <c:w val="0.9"/>
          <c:h val="0.13816870047642438"/>
        </c:manualLayout>
      </c:layout>
      <c:overlay val="0"/>
      <c:spPr>
        <a:noFill/>
        <a:ln w="25368">
          <a:noFill/>
        </a:ln>
      </c:spPr>
      <c:txPr>
        <a:bodyPr rot="0" spcFirstLastPara="1" vertOverflow="ellipsis" vert="horz" wrap="square" anchor="ctr" anchorCtr="1"/>
        <a:lstStyle/>
        <a:p>
          <a:pPr>
            <a:defRPr sz="899"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13"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ysClr val="windowText" lastClr="000000"/>
                </a:solidFill>
                <a:latin typeface="+mn-lt"/>
                <a:ea typeface="+mn-ea"/>
                <a:cs typeface="+mn-cs"/>
              </a:defRPr>
            </a:pPr>
            <a:r>
              <a:rPr lang="en-US" sz="1050" b="0">
                <a:solidFill>
                  <a:sysClr val="windowText" lastClr="000000"/>
                </a:solidFill>
                <a:latin typeface="Times New Roman" panose="02020603050405020304" pitchFamily="18" charset="0"/>
                <a:cs typeface="Times New Roman" panose="02020603050405020304" pitchFamily="18" charset="0"/>
              </a:rPr>
              <a:t>Coverage</a:t>
            </a:r>
            <a:r>
              <a:rPr lang="en-US" sz="1050" b="0" baseline="0">
                <a:solidFill>
                  <a:sysClr val="windowText" lastClr="000000"/>
                </a:solidFill>
                <a:latin typeface="Times New Roman" panose="02020603050405020304" pitchFamily="18" charset="0"/>
                <a:cs typeface="Times New Roman" panose="02020603050405020304" pitchFamily="18" charset="0"/>
              </a:rPr>
              <a:t> by courses of professional retraining for the last 3 years </a:t>
            </a:r>
            <a:endParaRPr lang="ru-RU" sz="1050" b="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8.8185996244745241E-2"/>
          <c:y val="0.15579631444294631"/>
          <c:w val="0.86291971967858283"/>
          <c:h val="0.49681391200560893"/>
        </c:manualLayout>
      </c:layout>
      <c:barChart>
        <c:barDir val="bar"/>
        <c:grouping val="clustered"/>
        <c:varyColors val="0"/>
        <c:ser>
          <c:idx val="0"/>
          <c:order val="0"/>
          <c:tx>
            <c:strRef>
              <c:f>Лист1!$B$1</c:f>
              <c:strCache>
                <c:ptCount val="1"/>
                <c:pt idx="0">
                  <c:v>The total number of students</c:v>
                </c:pt>
              </c:strCache>
            </c:strRef>
          </c:tx>
          <c:spPr>
            <a:solidFill>
              <a:schemeClr val="accent6"/>
            </a:solidFill>
            <a:ln>
              <a:noFill/>
            </a:ln>
            <a:effectLst/>
          </c:spPr>
          <c:invertIfNegative val="0"/>
          <c:cat>
            <c:numRef>
              <c:f>Лист1!$A$2:$A$5</c:f>
              <c:numCache>
                <c:formatCode>General</c:formatCode>
                <c:ptCount val="4"/>
                <c:pt idx="1">
                  <c:v>2013</c:v>
                </c:pt>
                <c:pt idx="2">
                  <c:v>2014</c:v>
                </c:pt>
                <c:pt idx="3">
                  <c:v>2015</c:v>
                </c:pt>
              </c:numCache>
            </c:numRef>
          </c:cat>
          <c:val>
            <c:numRef>
              <c:f>Лист1!$B$2:$B$5</c:f>
              <c:numCache>
                <c:formatCode>General</c:formatCode>
                <c:ptCount val="4"/>
                <c:pt idx="1">
                  <c:v>1178</c:v>
                </c:pt>
                <c:pt idx="2">
                  <c:v>1832</c:v>
                </c:pt>
                <c:pt idx="3">
                  <c:v>1956</c:v>
                </c:pt>
              </c:numCache>
            </c:numRef>
          </c:val>
        </c:ser>
        <c:ser>
          <c:idx val="1"/>
          <c:order val="1"/>
          <c:tx>
            <c:strRef>
              <c:f>Лист1!$C$1</c:f>
              <c:strCache>
                <c:ptCount val="1"/>
                <c:pt idx="0">
                  <c:v>Number of students</c:v>
                </c:pt>
              </c:strCache>
            </c:strRef>
          </c:tx>
          <c:spPr>
            <a:solidFill>
              <a:schemeClr val="accent5"/>
            </a:solidFill>
            <a:ln>
              <a:noFill/>
            </a:ln>
            <a:effectLst/>
          </c:spPr>
          <c:invertIfNegative val="0"/>
          <c:cat>
            <c:numRef>
              <c:f>Лист1!$A$2:$A$5</c:f>
              <c:numCache>
                <c:formatCode>General</c:formatCode>
                <c:ptCount val="4"/>
                <c:pt idx="1">
                  <c:v>2013</c:v>
                </c:pt>
                <c:pt idx="2">
                  <c:v>2014</c:v>
                </c:pt>
                <c:pt idx="3">
                  <c:v>2015</c:v>
                </c:pt>
              </c:numCache>
            </c:numRef>
          </c:cat>
          <c:val>
            <c:numRef>
              <c:f>Лист1!$C$2:$C$5</c:f>
              <c:numCache>
                <c:formatCode>General</c:formatCode>
                <c:ptCount val="4"/>
                <c:pt idx="1">
                  <c:v>320</c:v>
                </c:pt>
                <c:pt idx="2">
                  <c:v>629</c:v>
                </c:pt>
                <c:pt idx="3">
                  <c:v>634</c:v>
                </c:pt>
              </c:numCache>
            </c:numRef>
          </c:val>
        </c:ser>
        <c:ser>
          <c:idx val="2"/>
          <c:order val="2"/>
          <c:tx>
            <c:strRef>
              <c:f>Лист1!$D$1</c:f>
              <c:strCache>
                <c:ptCount val="1"/>
                <c:pt idx="0">
                  <c:v>Number of adults</c:v>
                </c:pt>
              </c:strCache>
            </c:strRef>
          </c:tx>
          <c:spPr>
            <a:solidFill>
              <a:schemeClr val="accent4"/>
            </a:solidFill>
            <a:ln>
              <a:noFill/>
            </a:ln>
            <a:effectLst/>
          </c:spPr>
          <c:invertIfNegative val="0"/>
          <c:cat>
            <c:numRef>
              <c:f>Лист1!$A$2:$A$5</c:f>
              <c:numCache>
                <c:formatCode>General</c:formatCode>
                <c:ptCount val="4"/>
                <c:pt idx="1">
                  <c:v>2013</c:v>
                </c:pt>
                <c:pt idx="2">
                  <c:v>2014</c:v>
                </c:pt>
                <c:pt idx="3">
                  <c:v>2015</c:v>
                </c:pt>
              </c:numCache>
            </c:numRef>
          </c:cat>
          <c:val>
            <c:numRef>
              <c:f>Лист1!$D$2:$D$5</c:f>
              <c:numCache>
                <c:formatCode>General</c:formatCode>
                <c:ptCount val="4"/>
                <c:pt idx="1">
                  <c:v>858</c:v>
                </c:pt>
                <c:pt idx="2">
                  <c:v>1203</c:v>
                </c:pt>
                <c:pt idx="3">
                  <c:v>1322</c:v>
                </c:pt>
              </c:numCache>
            </c:numRef>
          </c:val>
        </c:ser>
        <c:ser>
          <c:idx val="3"/>
          <c:order val="3"/>
          <c:tx>
            <c:strRef>
              <c:f>Лист1!$E$1</c:f>
              <c:strCache>
                <c:ptCount val="1"/>
                <c:pt idx="0">
                  <c:v>Number of received diploma</c:v>
                </c:pt>
              </c:strCache>
            </c:strRef>
          </c:tx>
          <c:spPr>
            <a:solidFill>
              <a:schemeClr val="accent6">
                <a:lumMod val="60000"/>
              </a:schemeClr>
            </a:solidFill>
            <a:ln>
              <a:noFill/>
            </a:ln>
            <a:effectLst/>
          </c:spPr>
          <c:invertIfNegative val="0"/>
          <c:cat>
            <c:numRef>
              <c:f>Лист1!$A$2:$A$5</c:f>
              <c:numCache>
                <c:formatCode>General</c:formatCode>
                <c:ptCount val="4"/>
                <c:pt idx="1">
                  <c:v>2013</c:v>
                </c:pt>
                <c:pt idx="2">
                  <c:v>2014</c:v>
                </c:pt>
                <c:pt idx="3">
                  <c:v>2015</c:v>
                </c:pt>
              </c:numCache>
            </c:numRef>
          </c:cat>
          <c:val>
            <c:numRef>
              <c:f>Лист1!$E$2:$E$5</c:f>
              <c:numCache>
                <c:formatCode>General</c:formatCode>
                <c:ptCount val="4"/>
                <c:pt idx="1">
                  <c:v>379</c:v>
                </c:pt>
                <c:pt idx="2">
                  <c:v>572</c:v>
                </c:pt>
                <c:pt idx="3">
                  <c:v>829</c:v>
                </c:pt>
              </c:numCache>
            </c:numRef>
          </c:val>
        </c:ser>
        <c:dLbls>
          <c:showLegendKey val="0"/>
          <c:showVal val="0"/>
          <c:showCatName val="0"/>
          <c:showSerName val="0"/>
          <c:showPercent val="0"/>
          <c:showBubbleSize val="0"/>
        </c:dLbls>
        <c:gapWidth val="150"/>
        <c:axId val="525864504"/>
        <c:axId val="343774600"/>
      </c:barChart>
      <c:catAx>
        <c:axId val="5258645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rgbClr val="002060"/>
                </a:solidFill>
                <a:latin typeface="+mn-lt"/>
                <a:ea typeface="+mn-ea"/>
                <a:cs typeface="+mn-cs"/>
              </a:defRPr>
            </a:pPr>
            <a:endParaRPr lang="ru-RU"/>
          </a:p>
        </c:txPr>
        <c:crossAx val="343774600"/>
        <c:crosses val="autoZero"/>
        <c:auto val="1"/>
        <c:lblAlgn val="ctr"/>
        <c:lblOffset val="100"/>
        <c:noMultiLvlLbl val="0"/>
      </c:catAx>
      <c:valAx>
        <c:axId val="3437746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5864504"/>
        <c:crosses val="autoZero"/>
        <c:crossBetween val="between"/>
      </c:valAx>
      <c:spPr>
        <a:noFill/>
        <a:ln>
          <a:noFill/>
        </a:ln>
        <a:effectLst/>
      </c:spPr>
    </c:plotArea>
    <c:legend>
      <c:legendPos val="b"/>
      <c:layout>
        <c:manualLayout>
          <c:xMode val="edge"/>
          <c:yMode val="edge"/>
          <c:x val="0.1797152035826193"/>
          <c:y val="0.75630344356481838"/>
          <c:w val="0.63594023405044076"/>
          <c:h val="0.2187900841397474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Ряд 1</c:v>
                </c:pt>
              </c:strCache>
            </c:strRef>
          </c:tx>
          <c:marker>
            <c:symbol val="none"/>
          </c:marker>
          <c:cat>
            <c:strRef>
              <c:f>Лист1!$A$2:$A$7</c:f>
              <c:strCache>
                <c:ptCount val="6"/>
                <c:pt idx="0">
                  <c:v>2010 г.</c:v>
                </c:pt>
                <c:pt idx="1">
                  <c:v>2011 г.</c:v>
                </c:pt>
                <c:pt idx="2">
                  <c:v>2012 г.</c:v>
                </c:pt>
                <c:pt idx="3">
                  <c:v>2013 г.</c:v>
                </c:pt>
                <c:pt idx="4">
                  <c:v>2014 г.</c:v>
                </c:pt>
                <c:pt idx="5">
                  <c:v>2015 г.</c:v>
                </c:pt>
              </c:strCache>
            </c:strRef>
          </c:cat>
          <c:val>
            <c:numRef>
              <c:f>Лист1!$B$2:$B$7</c:f>
              <c:numCache>
                <c:formatCode>General</c:formatCode>
                <c:ptCount val="6"/>
                <c:pt idx="0">
                  <c:v>2</c:v>
                </c:pt>
                <c:pt idx="1">
                  <c:v>31</c:v>
                </c:pt>
                <c:pt idx="2">
                  <c:v>45</c:v>
                </c:pt>
                <c:pt idx="3">
                  <c:v>26</c:v>
                </c:pt>
                <c:pt idx="4">
                  <c:v>16</c:v>
                </c:pt>
                <c:pt idx="5">
                  <c:v>17</c:v>
                </c:pt>
              </c:numCache>
            </c:numRef>
          </c:val>
          <c:smooth val="0"/>
        </c:ser>
        <c:ser>
          <c:idx val="1"/>
          <c:order val="1"/>
          <c:tx>
            <c:strRef>
              <c:f>Лист1!$C$1</c:f>
              <c:strCache>
                <c:ptCount val="1"/>
                <c:pt idx="0">
                  <c:v>Ряд 2</c:v>
                </c:pt>
              </c:strCache>
            </c:strRef>
          </c:tx>
          <c:marker>
            <c:symbol val="none"/>
          </c:marker>
          <c:cat>
            <c:strRef>
              <c:f>Лист1!$A$2:$A$7</c:f>
              <c:strCache>
                <c:ptCount val="6"/>
                <c:pt idx="0">
                  <c:v>2010 г.</c:v>
                </c:pt>
                <c:pt idx="1">
                  <c:v>2011 г.</c:v>
                </c:pt>
                <c:pt idx="2">
                  <c:v>2012 г.</c:v>
                </c:pt>
                <c:pt idx="3">
                  <c:v>2013 г.</c:v>
                </c:pt>
                <c:pt idx="4">
                  <c:v>2014 г.</c:v>
                </c:pt>
                <c:pt idx="5">
                  <c:v>2015 г.</c:v>
                </c:pt>
              </c:strCache>
            </c:strRef>
          </c:cat>
          <c:val>
            <c:numRef>
              <c:f>Лист1!$C$2:$C$7</c:f>
              <c:numCache>
                <c:formatCode>General</c:formatCode>
                <c:ptCount val="6"/>
              </c:numCache>
            </c:numRef>
          </c:val>
          <c:smooth val="0"/>
        </c:ser>
        <c:ser>
          <c:idx val="2"/>
          <c:order val="2"/>
          <c:tx>
            <c:strRef>
              <c:f>Лист1!$D$1</c:f>
              <c:strCache>
                <c:ptCount val="1"/>
                <c:pt idx="0">
                  <c:v>Ряд 3</c:v>
                </c:pt>
              </c:strCache>
            </c:strRef>
          </c:tx>
          <c:marker>
            <c:symbol val="none"/>
          </c:marker>
          <c:cat>
            <c:strRef>
              <c:f>Лист1!$A$2:$A$7</c:f>
              <c:strCache>
                <c:ptCount val="6"/>
                <c:pt idx="0">
                  <c:v>2010 г.</c:v>
                </c:pt>
                <c:pt idx="1">
                  <c:v>2011 г.</c:v>
                </c:pt>
                <c:pt idx="2">
                  <c:v>2012 г.</c:v>
                </c:pt>
                <c:pt idx="3">
                  <c:v>2013 г.</c:v>
                </c:pt>
                <c:pt idx="4">
                  <c:v>2014 г.</c:v>
                </c:pt>
                <c:pt idx="5">
                  <c:v>2015 г.</c:v>
                </c:pt>
              </c:strCache>
            </c:strRef>
          </c:cat>
          <c:val>
            <c:numRef>
              <c:f>Лист1!$D$2:$D$7</c:f>
              <c:numCache>
                <c:formatCode>General</c:formatCode>
                <c:ptCount val="6"/>
              </c:numCache>
            </c:numRef>
          </c:val>
          <c:smooth val="0"/>
        </c:ser>
        <c:dLbls>
          <c:showLegendKey val="0"/>
          <c:showVal val="0"/>
          <c:showCatName val="0"/>
          <c:showSerName val="0"/>
          <c:showPercent val="0"/>
          <c:showBubbleSize val="0"/>
        </c:dLbls>
        <c:smooth val="0"/>
        <c:axId val="349107672"/>
        <c:axId val="293680104"/>
      </c:lineChart>
      <c:catAx>
        <c:axId val="349107672"/>
        <c:scaling>
          <c:orientation val="minMax"/>
        </c:scaling>
        <c:delete val="0"/>
        <c:axPos val="b"/>
        <c:numFmt formatCode="General" sourceLinked="0"/>
        <c:majorTickMark val="out"/>
        <c:minorTickMark val="none"/>
        <c:tickLblPos val="nextTo"/>
        <c:crossAx val="293680104"/>
        <c:crosses val="autoZero"/>
        <c:auto val="1"/>
        <c:lblAlgn val="ctr"/>
        <c:lblOffset val="100"/>
        <c:noMultiLvlLbl val="0"/>
      </c:catAx>
      <c:valAx>
        <c:axId val="293680104"/>
        <c:scaling>
          <c:orientation val="minMax"/>
        </c:scaling>
        <c:delete val="0"/>
        <c:axPos val="l"/>
        <c:majorGridlines/>
        <c:numFmt formatCode="General" sourceLinked="1"/>
        <c:majorTickMark val="out"/>
        <c:minorTickMark val="none"/>
        <c:tickLblPos val="nextTo"/>
        <c:crossAx val="34910767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Ряд 1</c:v>
                </c:pt>
              </c:strCache>
            </c:strRef>
          </c:tx>
          <c:marker>
            <c:symbol val="none"/>
          </c:marker>
          <c:cat>
            <c:strRef>
              <c:f>Лист1!$A$2:$A$7</c:f>
              <c:strCache>
                <c:ptCount val="6"/>
                <c:pt idx="0">
                  <c:v>2010 г.</c:v>
                </c:pt>
                <c:pt idx="1">
                  <c:v>2011 г.</c:v>
                </c:pt>
                <c:pt idx="2">
                  <c:v>2012 г.</c:v>
                </c:pt>
                <c:pt idx="3">
                  <c:v>2013 г.</c:v>
                </c:pt>
                <c:pt idx="4">
                  <c:v>2014 г.</c:v>
                </c:pt>
                <c:pt idx="5">
                  <c:v>2015 г.</c:v>
                </c:pt>
              </c:strCache>
            </c:strRef>
          </c:cat>
          <c:val>
            <c:numRef>
              <c:f>Лист1!$B$2:$B$7</c:f>
              <c:numCache>
                <c:formatCode>General</c:formatCode>
                <c:ptCount val="6"/>
                <c:pt idx="0">
                  <c:v>0</c:v>
                </c:pt>
                <c:pt idx="1">
                  <c:v>1</c:v>
                </c:pt>
                <c:pt idx="2">
                  <c:v>3</c:v>
                </c:pt>
                <c:pt idx="3">
                  <c:v>7</c:v>
                </c:pt>
                <c:pt idx="4">
                  <c:v>4</c:v>
                </c:pt>
                <c:pt idx="5">
                  <c:v>5</c:v>
                </c:pt>
              </c:numCache>
            </c:numRef>
          </c:val>
          <c:smooth val="0"/>
        </c:ser>
        <c:ser>
          <c:idx val="1"/>
          <c:order val="1"/>
          <c:tx>
            <c:strRef>
              <c:f>Лист1!$C$1</c:f>
              <c:strCache>
                <c:ptCount val="1"/>
                <c:pt idx="0">
                  <c:v>Ряд 2</c:v>
                </c:pt>
              </c:strCache>
            </c:strRef>
          </c:tx>
          <c:marker>
            <c:symbol val="none"/>
          </c:marker>
          <c:cat>
            <c:strRef>
              <c:f>Лист1!$A$2:$A$7</c:f>
              <c:strCache>
                <c:ptCount val="6"/>
                <c:pt idx="0">
                  <c:v>2010 г.</c:v>
                </c:pt>
                <c:pt idx="1">
                  <c:v>2011 г.</c:v>
                </c:pt>
                <c:pt idx="2">
                  <c:v>2012 г.</c:v>
                </c:pt>
                <c:pt idx="3">
                  <c:v>2013 г.</c:v>
                </c:pt>
                <c:pt idx="4">
                  <c:v>2014 г.</c:v>
                </c:pt>
                <c:pt idx="5">
                  <c:v>2015 г.</c:v>
                </c:pt>
              </c:strCache>
            </c:strRef>
          </c:cat>
          <c:val>
            <c:numRef>
              <c:f>Лист1!$C$2:$C$7</c:f>
              <c:numCache>
                <c:formatCode>General</c:formatCode>
                <c:ptCount val="6"/>
              </c:numCache>
            </c:numRef>
          </c:val>
          <c:smooth val="0"/>
        </c:ser>
        <c:ser>
          <c:idx val="2"/>
          <c:order val="2"/>
          <c:tx>
            <c:strRef>
              <c:f>Лист1!$D$1</c:f>
              <c:strCache>
                <c:ptCount val="1"/>
                <c:pt idx="0">
                  <c:v>Ряд 3</c:v>
                </c:pt>
              </c:strCache>
            </c:strRef>
          </c:tx>
          <c:marker>
            <c:symbol val="none"/>
          </c:marker>
          <c:cat>
            <c:strRef>
              <c:f>Лист1!$A$2:$A$7</c:f>
              <c:strCache>
                <c:ptCount val="6"/>
                <c:pt idx="0">
                  <c:v>2010 г.</c:v>
                </c:pt>
                <c:pt idx="1">
                  <c:v>2011 г.</c:v>
                </c:pt>
                <c:pt idx="2">
                  <c:v>2012 г.</c:v>
                </c:pt>
                <c:pt idx="3">
                  <c:v>2013 г.</c:v>
                </c:pt>
                <c:pt idx="4">
                  <c:v>2014 г.</c:v>
                </c:pt>
                <c:pt idx="5">
                  <c:v>2015 г.</c:v>
                </c:pt>
              </c:strCache>
            </c:strRef>
          </c:cat>
          <c:val>
            <c:numRef>
              <c:f>Лист1!$D$2:$D$7</c:f>
              <c:numCache>
                <c:formatCode>General</c:formatCode>
                <c:ptCount val="6"/>
              </c:numCache>
            </c:numRef>
          </c:val>
          <c:smooth val="0"/>
        </c:ser>
        <c:dLbls>
          <c:showLegendKey val="0"/>
          <c:showVal val="0"/>
          <c:showCatName val="0"/>
          <c:showSerName val="0"/>
          <c:showPercent val="0"/>
          <c:showBubbleSize val="0"/>
        </c:dLbls>
        <c:smooth val="0"/>
        <c:axId val="525908384"/>
        <c:axId val="525908776"/>
      </c:lineChart>
      <c:catAx>
        <c:axId val="525908384"/>
        <c:scaling>
          <c:orientation val="minMax"/>
        </c:scaling>
        <c:delete val="0"/>
        <c:axPos val="b"/>
        <c:numFmt formatCode="General" sourceLinked="0"/>
        <c:majorTickMark val="out"/>
        <c:minorTickMark val="none"/>
        <c:tickLblPos val="nextTo"/>
        <c:crossAx val="525908776"/>
        <c:crosses val="autoZero"/>
        <c:auto val="1"/>
        <c:lblAlgn val="ctr"/>
        <c:lblOffset val="100"/>
        <c:noMultiLvlLbl val="0"/>
      </c:catAx>
      <c:valAx>
        <c:axId val="525908776"/>
        <c:scaling>
          <c:orientation val="minMax"/>
        </c:scaling>
        <c:delete val="0"/>
        <c:axPos val="l"/>
        <c:majorGridlines/>
        <c:numFmt formatCode="General" sourceLinked="1"/>
        <c:majorTickMark val="out"/>
        <c:minorTickMark val="none"/>
        <c:tickLblPos val="nextTo"/>
        <c:crossAx val="52590838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7.5036636045494778E-2"/>
          <c:y val="3.6121109861267341E-2"/>
          <c:w val="0.90413003062117581"/>
          <c:h val="0.68816116735408073"/>
        </c:manualLayout>
      </c:layout>
      <c:bar3DChart>
        <c:barDir val="col"/>
        <c:grouping val="clustered"/>
        <c:varyColors val="0"/>
        <c:ser>
          <c:idx val="0"/>
          <c:order val="0"/>
          <c:tx>
            <c:strRef>
              <c:f>Лист1!$B$1</c:f>
              <c:strCache>
                <c:ptCount val="1"/>
                <c:pt idx="0">
                  <c:v>Столбец4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2011</c:v>
                </c:pt>
                <c:pt idx="1">
                  <c:v>2012</c:v>
                </c:pt>
                <c:pt idx="2">
                  <c:v>2013</c:v>
                </c:pt>
                <c:pt idx="3">
                  <c:v>2014</c:v>
                </c:pt>
                <c:pt idx="4">
                  <c:v>2015</c:v>
                </c:pt>
              </c:numCache>
            </c:numRef>
          </c:cat>
          <c:val>
            <c:numRef>
              <c:f>Лист1!$B$2:$B$6</c:f>
              <c:numCache>
                <c:formatCode>General</c:formatCode>
                <c:ptCount val="5"/>
                <c:pt idx="0">
                  <c:v>6</c:v>
                </c:pt>
                <c:pt idx="1">
                  <c:v>26</c:v>
                </c:pt>
                <c:pt idx="2">
                  <c:v>16</c:v>
                </c:pt>
                <c:pt idx="3">
                  <c:v>14</c:v>
                </c:pt>
                <c:pt idx="4">
                  <c:v>14</c:v>
                </c:pt>
              </c:numCache>
            </c:numRef>
          </c:val>
        </c:ser>
        <c:ser>
          <c:idx val="1"/>
          <c:order val="1"/>
          <c:tx>
            <c:strRef>
              <c:f>Лист1!$C$1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2011</c:v>
                </c:pt>
                <c:pt idx="1">
                  <c:v>2012</c:v>
                </c:pt>
                <c:pt idx="2">
                  <c:v>2013</c:v>
                </c:pt>
                <c:pt idx="3">
                  <c:v>2014</c:v>
                </c:pt>
                <c:pt idx="4">
                  <c:v>2015</c:v>
                </c:pt>
              </c:numCache>
            </c:numRef>
          </c:cat>
          <c:val>
            <c:numRef>
              <c:f>Лист1!$C$2:$C$6</c:f>
              <c:numCache>
                <c:formatCode>General</c:formatCode>
                <c:ptCount val="5"/>
                <c:pt idx="0">
                  <c:v>1</c:v>
                </c:pt>
                <c:pt idx="1">
                  <c:v>6</c:v>
                </c:pt>
                <c:pt idx="2">
                  <c:v>2</c:v>
                </c:pt>
                <c:pt idx="3">
                  <c:v>2</c:v>
                </c:pt>
                <c:pt idx="4">
                  <c:v>1</c:v>
                </c:pt>
              </c:numCache>
            </c:numRef>
          </c:val>
        </c:ser>
        <c:ser>
          <c:idx val="2"/>
          <c:order val="2"/>
          <c:tx>
            <c:strRef>
              <c:f>Лист1!$D$1</c:f>
              <c:strCache>
                <c:ptCount val="1"/>
                <c:pt idx="0">
                  <c:v>Столбец2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2011</c:v>
                </c:pt>
                <c:pt idx="1">
                  <c:v>2012</c:v>
                </c:pt>
                <c:pt idx="2">
                  <c:v>2013</c:v>
                </c:pt>
                <c:pt idx="3">
                  <c:v>2014</c:v>
                </c:pt>
                <c:pt idx="4">
                  <c:v>2015</c:v>
                </c:pt>
              </c:numCache>
            </c:numRef>
          </c:cat>
          <c:val>
            <c:numRef>
              <c:f>Лист1!$D$2:$D$6</c:f>
              <c:numCache>
                <c:formatCode>General</c:formatCode>
                <c:ptCount val="5"/>
                <c:pt idx="0">
                  <c:v>1</c:v>
                </c:pt>
                <c:pt idx="1">
                  <c:v>0</c:v>
                </c:pt>
                <c:pt idx="2">
                  <c:v>2</c:v>
                </c:pt>
                <c:pt idx="3">
                  <c:v>2</c:v>
                </c:pt>
                <c:pt idx="4">
                  <c:v>1</c:v>
                </c:pt>
              </c:numCache>
            </c:numRef>
          </c:val>
        </c:ser>
        <c:ser>
          <c:idx val="3"/>
          <c:order val="3"/>
          <c:tx>
            <c:strRef>
              <c:f>Лист1!$E$1</c:f>
              <c:strCache>
                <c:ptCount val="1"/>
                <c:pt idx="0">
                  <c:v>Столбец3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2011</c:v>
                </c:pt>
                <c:pt idx="1">
                  <c:v>2012</c:v>
                </c:pt>
                <c:pt idx="2">
                  <c:v>2013</c:v>
                </c:pt>
                <c:pt idx="3">
                  <c:v>2014</c:v>
                </c:pt>
                <c:pt idx="4">
                  <c:v>2015</c:v>
                </c:pt>
              </c:numCache>
            </c:numRef>
          </c:cat>
          <c:val>
            <c:numRef>
              <c:f>Лист1!$E$2:$E$6</c:f>
              <c:numCache>
                <c:formatCode>General</c:formatCode>
                <c:ptCount val="5"/>
                <c:pt idx="4">
                  <c:v>3</c:v>
                </c:pt>
              </c:numCache>
            </c:numRef>
          </c:val>
        </c:ser>
        <c:dLbls>
          <c:showLegendKey val="0"/>
          <c:showVal val="0"/>
          <c:showCatName val="0"/>
          <c:showSerName val="0"/>
          <c:showPercent val="0"/>
          <c:showBubbleSize val="0"/>
        </c:dLbls>
        <c:gapWidth val="150"/>
        <c:shape val="box"/>
        <c:axId val="525909560"/>
        <c:axId val="525909952"/>
        <c:axId val="0"/>
      </c:bar3DChart>
      <c:catAx>
        <c:axId val="525909560"/>
        <c:scaling>
          <c:orientation val="minMax"/>
        </c:scaling>
        <c:delete val="0"/>
        <c:axPos val="b"/>
        <c:numFmt formatCode="General" sourceLinked="1"/>
        <c:majorTickMark val="out"/>
        <c:minorTickMark val="none"/>
        <c:tickLblPos val="nextTo"/>
        <c:crossAx val="525909952"/>
        <c:crosses val="autoZero"/>
        <c:auto val="1"/>
        <c:lblAlgn val="ctr"/>
        <c:lblOffset val="100"/>
        <c:noMultiLvlLbl val="0"/>
      </c:catAx>
      <c:valAx>
        <c:axId val="525909952"/>
        <c:scaling>
          <c:orientation val="minMax"/>
        </c:scaling>
        <c:delete val="0"/>
        <c:axPos val="l"/>
        <c:majorGridlines/>
        <c:numFmt formatCode="General" sourceLinked="1"/>
        <c:majorTickMark val="out"/>
        <c:minorTickMark val="none"/>
        <c:tickLblPos val="nextTo"/>
        <c:crossAx val="52590956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6233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2016-03-05T02:42:00Z</dcterms:created>
  <dcterms:modified xsi:type="dcterms:W3CDTF">2016-03-05T02:43:00Z</dcterms:modified>
</cp:coreProperties>
</file>